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AE4" w:rsidRPr="000B12DF" w:rsidRDefault="00BD7AE4" w:rsidP="00BD7AE4">
      <w:pPr>
        <w:spacing w:after="0" w:line="240" w:lineRule="auto"/>
        <w:jc w:val="center"/>
        <w:rPr>
          <w:rFonts w:asciiTheme="majorHAnsi" w:hAnsiTheme="majorHAnsi" w:cstheme="majorHAnsi"/>
          <w:sz w:val="34"/>
          <w:szCs w:val="34"/>
        </w:rPr>
      </w:pPr>
      <w:bookmarkStart w:id="0" w:name="indicador1"/>
      <w:bookmarkEnd w:id="0"/>
      <w:r w:rsidRPr="000B12DF">
        <w:rPr>
          <w:rFonts w:asciiTheme="majorHAnsi" w:hAnsiTheme="majorHAnsi" w:cstheme="majorHAnsi"/>
          <w:sz w:val="34"/>
          <w:szCs w:val="34"/>
        </w:rPr>
        <w:t>M</w:t>
      </w:r>
      <w:r w:rsidR="00E131E5">
        <w:rPr>
          <w:rFonts w:asciiTheme="majorHAnsi" w:hAnsiTheme="majorHAnsi" w:cstheme="majorHAnsi"/>
          <w:sz w:val="34"/>
          <w:szCs w:val="34"/>
        </w:rPr>
        <w:t>EMORIAL DESCRITIVO PSCIP</w:t>
      </w:r>
    </w:p>
    <w:p w:rsidR="00BD7AE4" w:rsidRPr="000B12DF" w:rsidRDefault="00BD7AE4" w:rsidP="00BD7AE4">
      <w:pPr>
        <w:spacing w:after="0" w:line="240" w:lineRule="auto"/>
        <w:jc w:val="center"/>
        <w:rPr>
          <w:rFonts w:asciiTheme="majorHAnsi" w:hAnsiTheme="majorHAnsi" w:cstheme="majorHAnsi"/>
          <w:b/>
          <w:sz w:val="28"/>
          <w:szCs w:val="28"/>
        </w:rPr>
      </w:pPr>
    </w:p>
    <w:p w:rsidR="00BD7AE4" w:rsidRDefault="00BD7AE4" w:rsidP="00BD7AE4">
      <w:pPr>
        <w:spacing w:after="0" w:line="240" w:lineRule="auto"/>
        <w:jc w:val="center"/>
        <w:rPr>
          <w:rFonts w:asciiTheme="majorHAnsi" w:hAnsiTheme="majorHAnsi" w:cstheme="majorHAnsi"/>
          <w:sz w:val="28"/>
          <w:szCs w:val="28"/>
        </w:rPr>
      </w:pPr>
    </w:p>
    <w:p w:rsidR="00BD7AE4" w:rsidRPr="000B12DF" w:rsidRDefault="00BD7AE4" w:rsidP="00BD7AE4">
      <w:pPr>
        <w:spacing w:after="0" w:line="240" w:lineRule="auto"/>
        <w:jc w:val="center"/>
        <w:rPr>
          <w:rFonts w:asciiTheme="majorHAnsi" w:hAnsiTheme="majorHAnsi" w:cstheme="majorHAnsi"/>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tbl>
      <w:tblPr>
        <w:tblStyle w:val="Tabelacomgrade"/>
        <w:tblW w:w="8784" w:type="dxa"/>
        <w:tblLook w:val="04A0" w:firstRow="1" w:lastRow="0" w:firstColumn="1" w:lastColumn="0" w:noHBand="0" w:noVBand="1"/>
      </w:tblPr>
      <w:tblGrid>
        <w:gridCol w:w="2088"/>
        <w:gridCol w:w="2125"/>
        <w:gridCol w:w="2119"/>
        <w:gridCol w:w="2452"/>
      </w:tblGrid>
      <w:tr w:rsidR="00BD7AE4" w:rsidRPr="000B12DF" w:rsidTr="00BD7AE4">
        <w:trPr>
          <w:trHeight w:val="624"/>
        </w:trPr>
        <w:tc>
          <w:tcPr>
            <w:tcW w:w="2088"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REVISÃO</w:t>
            </w:r>
          </w:p>
        </w:tc>
        <w:tc>
          <w:tcPr>
            <w:tcW w:w="2125"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DATA</w:t>
            </w:r>
          </w:p>
        </w:tc>
        <w:tc>
          <w:tcPr>
            <w:tcW w:w="2119"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DESCRIÇÃO</w:t>
            </w:r>
          </w:p>
        </w:tc>
        <w:tc>
          <w:tcPr>
            <w:tcW w:w="2452"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RESPONSÁVEL</w:t>
            </w:r>
          </w:p>
        </w:tc>
      </w:tr>
      <w:tr w:rsidR="00BD7AE4" w:rsidRPr="000B12DF" w:rsidTr="00BD7AE4">
        <w:trPr>
          <w:trHeight w:val="227"/>
        </w:trPr>
        <w:tc>
          <w:tcPr>
            <w:tcW w:w="2088" w:type="dxa"/>
            <w:vAlign w:val="center"/>
          </w:tcPr>
          <w:p w:rsidR="00BD7AE4" w:rsidRPr="000B12DF" w:rsidRDefault="00E01790" w:rsidP="00F87F7C">
            <w:pPr>
              <w:pStyle w:val="SemEspaamento"/>
              <w:jc w:val="center"/>
              <w:rPr>
                <w:rFonts w:asciiTheme="majorHAnsi" w:hAnsiTheme="majorHAnsi" w:cstheme="majorHAnsi"/>
                <w:sz w:val="24"/>
                <w:szCs w:val="24"/>
              </w:rPr>
            </w:pPr>
            <w:r>
              <w:rPr>
                <w:rFonts w:asciiTheme="majorHAnsi" w:hAnsiTheme="majorHAnsi" w:cstheme="majorHAnsi"/>
                <w:sz w:val="24"/>
                <w:szCs w:val="24"/>
              </w:rPr>
              <w:t>R06</w:t>
            </w:r>
          </w:p>
        </w:tc>
        <w:tc>
          <w:tcPr>
            <w:tcW w:w="2125" w:type="dxa"/>
            <w:vAlign w:val="center"/>
          </w:tcPr>
          <w:p w:rsidR="00BD7AE4" w:rsidRPr="000B12DF" w:rsidRDefault="00E01790" w:rsidP="00F87F7C">
            <w:pPr>
              <w:pStyle w:val="SemEspaamento"/>
              <w:jc w:val="center"/>
              <w:rPr>
                <w:rFonts w:asciiTheme="majorHAnsi" w:hAnsiTheme="majorHAnsi" w:cstheme="majorHAnsi"/>
                <w:sz w:val="24"/>
                <w:szCs w:val="24"/>
              </w:rPr>
            </w:pPr>
            <w:r>
              <w:rPr>
                <w:rFonts w:asciiTheme="majorHAnsi" w:hAnsiTheme="majorHAnsi" w:cstheme="majorHAnsi"/>
                <w:sz w:val="24"/>
                <w:szCs w:val="24"/>
              </w:rPr>
              <w:t>11/10</w:t>
            </w:r>
            <w:r w:rsidR="00BD7AE4" w:rsidRPr="000B12DF">
              <w:rPr>
                <w:rFonts w:asciiTheme="majorHAnsi" w:hAnsiTheme="majorHAnsi" w:cstheme="majorHAnsi"/>
                <w:sz w:val="24"/>
                <w:szCs w:val="24"/>
              </w:rPr>
              <w:t>/2023</w:t>
            </w:r>
          </w:p>
        </w:tc>
        <w:tc>
          <w:tcPr>
            <w:tcW w:w="2119" w:type="dxa"/>
            <w:vAlign w:val="center"/>
          </w:tcPr>
          <w:p w:rsidR="00BD7AE4" w:rsidRPr="000B12DF" w:rsidRDefault="00E131E5" w:rsidP="00F87F7C">
            <w:pPr>
              <w:pStyle w:val="SemEspaamento"/>
              <w:jc w:val="center"/>
              <w:rPr>
                <w:rFonts w:asciiTheme="majorHAnsi" w:hAnsiTheme="majorHAnsi" w:cstheme="majorHAnsi"/>
                <w:sz w:val="24"/>
                <w:szCs w:val="24"/>
              </w:rPr>
            </w:pPr>
            <w:r>
              <w:rPr>
                <w:rFonts w:asciiTheme="majorHAnsi" w:hAnsiTheme="majorHAnsi" w:cstheme="majorHAnsi"/>
                <w:sz w:val="24"/>
                <w:szCs w:val="24"/>
              </w:rPr>
              <w:t>Atendimento ao Parecer Técnico Nº 139/2023 - SUOB</w:t>
            </w:r>
          </w:p>
        </w:tc>
        <w:tc>
          <w:tcPr>
            <w:tcW w:w="2452" w:type="dxa"/>
            <w:vAlign w:val="center"/>
          </w:tcPr>
          <w:p w:rsidR="00BD7AE4" w:rsidRPr="000B12DF" w:rsidRDefault="00BD7AE4" w:rsidP="00F87F7C">
            <w:pPr>
              <w:pStyle w:val="SemEspaamento"/>
              <w:jc w:val="center"/>
              <w:rPr>
                <w:rFonts w:asciiTheme="majorHAnsi" w:hAnsiTheme="majorHAnsi" w:cstheme="majorHAnsi"/>
                <w:sz w:val="24"/>
                <w:szCs w:val="24"/>
              </w:rPr>
            </w:pPr>
            <w:r w:rsidRPr="000B12DF">
              <w:rPr>
                <w:rFonts w:asciiTheme="majorHAnsi" w:hAnsiTheme="majorHAnsi" w:cstheme="majorHAnsi"/>
                <w:sz w:val="24"/>
                <w:szCs w:val="24"/>
              </w:rPr>
              <w:t xml:space="preserve">Gabriel Vinicius </w:t>
            </w:r>
            <w:proofErr w:type="spellStart"/>
            <w:r w:rsidRPr="000B12DF">
              <w:rPr>
                <w:rFonts w:asciiTheme="majorHAnsi" w:hAnsiTheme="majorHAnsi" w:cstheme="majorHAnsi"/>
                <w:sz w:val="24"/>
                <w:szCs w:val="24"/>
              </w:rPr>
              <w:t>Vitta</w:t>
            </w:r>
            <w:proofErr w:type="spellEnd"/>
          </w:p>
        </w:tc>
      </w:tr>
      <w:tr w:rsidR="00BD7AE4" w:rsidRPr="000B12DF" w:rsidTr="00BD7AE4">
        <w:trPr>
          <w:trHeight w:val="624"/>
        </w:trPr>
        <w:tc>
          <w:tcPr>
            <w:tcW w:w="2088"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Nome do projeto</w:t>
            </w:r>
          </w:p>
        </w:tc>
        <w:tc>
          <w:tcPr>
            <w:tcW w:w="6696" w:type="dxa"/>
            <w:gridSpan w:val="3"/>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PROJETO DA ESCOLA ESTADUAL DA POLICIA.MILITAR TIRADENTES</w:t>
            </w:r>
          </w:p>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“CABO ISRAEL WESLEY PRADO DE ALMEIDA”</w:t>
            </w:r>
          </w:p>
        </w:tc>
      </w:tr>
      <w:tr w:rsidR="00BD7AE4" w:rsidRPr="000B12DF" w:rsidTr="00BD7AE4">
        <w:trPr>
          <w:trHeight w:val="624"/>
        </w:trPr>
        <w:tc>
          <w:tcPr>
            <w:tcW w:w="2088" w:type="dxa"/>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Endereço do projeto</w:t>
            </w:r>
          </w:p>
        </w:tc>
        <w:tc>
          <w:tcPr>
            <w:tcW w:w="6696" w:type="dxa"/>
            <w:gridSpan w:val="3"/>
            <w:shd w:val="clear" w:color="auto" w:fill="BFBFBF"/>
            <w:vAlign w:val="center"/>
          </w:tcPr>
          <w:p w:rsidR="00BD7AE4" w:rsidRPr="000B12DF" w:rsidRDefault="00BD7AE4" w:rsidP="00F87F7C">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Rua Belo Horizonte, s/n, Juara - MT, 78575-000</w:t>
            </w:r>
          </w:p>
        </w:tc>
      </w:tr>
    </w:tbl>
    <w:p w:rsidR="00BD7AE4" w:rsidRPr="000B12DF" w:rsidRDefault="00BD7AE4" w:rsidP="00BD7AE4">
      <w:pPr>
        <w:spacing w:after="0" w:line="240" w:lineRule="auto"/>
        <w:rPr>
          <w:rFonts w:asciiTheme="majorHAnsi" w:hAnsiTheme="majorHAnsi" w:cstheme="majorHAnsi"/>
        </w:rPr>
      </w:pPr>
    </w:p>
    <w:p w:rsidR="00BD7AE4" w:rsidRPr="000B12DF" w:rsidRDefault="00BD7AE4" w:rsidP="00BD7AE4">
      <w:pPr>
        <w:pStyle w:val="CabealhodoSumrio"/>
        <w:spacing w:before="240"/>
        <w:jc w:val="center"/>
        <w:rPr>
          <w:rFonts w:cstheme="majorHAnsi"/>
          <w:b w:val="0"/>
          <w:bCs w:val="0"/>
          <w:color w:val="auto"/>
        </w:rPr>
      </w:pPr>
      <w:bookmarkStart w:id="1" w:name="_GoBack"/>
      <w:bookmarkEnd w:id="1"/>
      <w:r w:rsidRPr="000B12DF">
        <w:rPr>
          <w:rFonts w:cstheme="majorHAnsi"/>
          <w:b w:val="0"/>
          <w:bCs w:val="0"/>
          <w:color w:val="auto"/>
        </w:rPr>
        <w:br w:type="page"/>
      </w:r>
    </w:p>
    <w:p w:rsidR="00876753" w:rsidRDefault="003F3007" w:rsidP="00876753">
      <w:pPr>
        <w:spacing w:after="0" w:line="240" w:lineRule="auto"/>
        <w:jc w:val="both"/>
        <w:rPr>
          <w:rFonts w:asciiTheme="majorHAnsi" w:hAnsiTheme="majorHAnsi" w:cs="Arial"/>
          <w:b/>
          <w:sz w:val="24"/>
          <w:szCs w:val="24"/>
        </w:rPr>
      </w:pPr>
      <w:r w:rsidRPr="001968AC">
        <w:rPr>
          <w:rFonts w:asciiTheme="majorHAnsi" w:hAnsiTheme="majorHAnsi" w:cs="Arial"/>
          <w:b/>
          <w:sz w:val="24"/>
          <w:szCs w:val="24"/>
        </w:rPr>
        <w:lastRenderedPageBreak/>
        <w:t>OBJETIVO</w:t>
      </w:r>
    </w:p>
    <w:p w:rsidR="00876753" w:rsidRDefault="00876753" w:rsidP="001968AC">
      <w:pPr>
        <w:spacing w:after="0" w:line="360" w:lineRule="auto"/>
        <w:jc w:val="both"/>
        <w:rPr>
          <w:rFonts w:asciiTheme="majorHAnsi" w:hAnsiTheme="majorHAnsi" w:cs="Arial"/>
          <w:sz w:val="24"/>
          <w:szCs w:val="24"/>
        </w:rPr>
      </w:pPr>
      <w:r w:rsidRPr="001968AC">
        <w:rPr>
          <w:rFonts w:asciiTheme="majorHAnsi" w:hAnsiTheme="majorHAnsi" w:cs="Arial"/>
          <w:sz w:val="24"/>
          <w:szCs w:val="24"/>
        </w:rPr>
        <w:t xml:space="preserve">O presente memorial destina-se a apresentar os princípios básicos e as normas de apoio que nortearam o desenvolvimento do projeto de </w:t>
      </w:r>
      <w:r w:rsidR="00242905">
        <w:rPr>
          <w:rFonts w:asciiTheme="majorHAnsi" w:hAnsiTheme="majorHAnsi" w:cs="Arial"/>
          <w:sz w:val="24"/>
          <w:szCs w:val="24"/>
        </w:rPr>
        <w:t>PSCIP</w:t>
      </w:r>
      <w:r w:rsidRPr="001968AC">
        <w:rPr>
          <w:rFonts w:asciiTheme="majorHAnsi" w:hAnsiTheme="majorHAnsi" w:cs="Arial"/>
          <w:sz w:val="24"/>
          <w:szCs w:val="24"/>
        </w:rPr>
        <w:t xml:space="preserve">, seu dimensionamento e as especificações técnicas que completam a documentação necessária </w:t>
      </w:r>
      <w:r w:rsidR="00242905">
        <w:rPr>
          <w:rFonts w:asciiTheme="majorHAnsi" w:hAnsiTheme="majorHAnsi" w:cs="Arial"/>
          <w:sz w:val="24"/>
          <w:szCs w:val="24"/>
        </w:rPr>
        <w:t xml:space="preserve">às medidas devias para a segurança do público de 910 alunos estimados.  O projeto possui </w:t>
      </w:r>
      <w:r w:rsidR="00242905" w:rsidRPr="000E16D3">
        <w:rPr>
          <w:rFonts w:asciiTheme="majorHAnsi" w:hAnsiTheme="majorHAnsi" w:cs="Arial"/>
          <w:b/>
          <w:sz w:val="24"/>
          <w:szCs w:val="24"/>
        </w:rPr>
        <w:t xml:space="preserve">área computável de </w:t>
      </w:r>
      <w:r w:rsidR="000E16D3" w:rsidRPr="000E16D3">
        <w:rPr>
          <w:rFonts w:asciiTheme="majorHAnsi" w:hAnsiTheme="majorHAnsi" w:cs="Arial"/>
          <w:b/>
          <w:sz w:val="24"/>
          <w:szCs w:val="24"/>
        </w:rPr>
        <w:t>5.531,61 m²</w:t>
      </w:r>
      <w:r w:rsidRPr="001968AC">
        <w:rPr>
          <w:rFonts w:asciiTheme="majorHAnsi" w:hAnsiTheme="majorHAnsi" w:cs="Arial"/>
          <w:sz w:val="24"/>
          <w:szCs w:val="24"/>
        </w:rPr>
        <w:t>.</w:t>
      </w:r>
      <w:r w:rsidRPr="001968AC">
        <w:rPr>
          <w:rFonts w:asciiTheme="majorHAnsi" w:hAnsiTheme="majorHAnsi" w:cs="Arial"/>
          <w:sz w:val="24"/>
          <w:szCs w:val="24"/>
        </w:rPr>
        <w:cr/>
      </w:r>
      <w:r w:rsidR="000E16D3">
        <w:rPr>
          <w:rFonts w:asciiTheme="majorHAnsi" w:hAnsiTheme="majorHAnsi" w:cs="Arial"/>
          <w:sz w:val="24"/>
          <w:szCs w:val="24"/>
        </w:rPr>
        <w:t>O partido arquitetônico caracteriza-se por dispor os diferentes usos em diferentes edificações, sendo um bloco retangular para salas de aula, uma edificação para refeitório cujo espaço coletivo é aberto. Uma quadra coberta para atividades desportivas dispondo de 04 acessos distintos e dispostos nos quatro cantos do pátio desportivo e um vestiário nas proximidades da quadra esportiva com acessos alinhados com o lado oeste da citada quadra.</w:t>
      </w:r>
    </w:p>
    <w:p w:rsidR="000E16D3" w:rsidRDefault="000E16D3" w:rsidP="001968AC">
      <w:pPr>
        <w:spacing w:after="0" w:line="360" w:lineRule="auto"/>
        <w:jc w:val="both"/>
        <w:rPr>
          <w:rFonts w:asciiTheme="majorHAnsi" w:hAnsiTheme="majorHAnsi" w:cs="Arial"/>
          <w:sz w:val="24"/>
          <w:szCs w:val="24"/>
        </w:rPr>
      </w:pPr>
    </w:p>
    <w:p w:rsidR="000E16D3" w:rsidRPr="000E16D3" w:rsidRDefault="000E16D3" w:rsidP="001968AC">
      <w:pPr>
        <w:spacing w:after="0" w:line="360" w:lineRule="auto"/>
        <w:jc w:val="both"/>
        <w:rPr>
          <w:rFonts w:asciiTheme="majorHAnsi" w:hAnsiTheme="majorHAnsi" w:cs="Arial"/>
          <w:b/>
          <w:sz w:val="24"/>
          <w:szCs w:val="24"/>
        </w:rPr>
      </w:pPr>
      <w:r w:rsidRPr="000E16D3">
        <w:rPr>
          <w:rFonts w:asciiTheme="majorHAnsi" w:hAnsiTheme="majorHAnsi" w:cs="Arial"/>
          <w:b/>
          <w:sz w:val="24"/>
          <w:szCs w:val="24"/>
        </w:rPr>
        <w:t>Bloco Educacional</w:t>
      </w:r>
    </w:p>
    <w:p w:rsidR="000E16D3" w:rsidRDefault="000E16D3" w:rsidP="001968AC">
      <w:pPr>
        <w:spacing w:after="0" w:line="360" w:lineRule="auto"/>
        <w:jc w:val="both"/>
        <w:rPr>
          <w:rFonts w:asciiTheme="majorHAnsi" w:hAnsiTheme="majorHAnsi" w:cs="Arial"/>
          <w:sz w:val="24"/>
          <w:szCs w:val="24"/>
        </w:rPr>
      </w:pPr>
      <w:r>
        <w:rPr>
          <w:rFonts w:asciiTheme="majorHAnsi" w:hAnsiTheme="majorHAnsi" w:cs="Arial"/>
          <w:sz w:val="24"/>
          <w:szCs w:val="24"/>
        </w:rPr>
        <w:t xml:space="preserve">Este edifício abriga 24 salas de aula padrão, 01 de aula especial que comporta 70 alunos, </w:t>
      </w:r>
      <w:proofErr w:type="gramStart"/>
      <w:r>
        <w:rPr>
          <w:rFonts w:asciiTheme="majorHAnsi" w:hAnsiTheme="majorHAnsi" w:cs="Arial"/>
          <w:sz w:val="24"/>
          <w:szCs w:val="24"/>
        </w:rPr>
        <w:t>01 laboratório</w:t>
      </w:r>
      <w:proofErr w:type="gramEnd"/>
      <w:r>
        <w:rPr>
          <w:rFonts w:asciiTheme="majorHAnsi" w:hAnsiTheme="majorHAnsi" w:cs="Arial"/>
          <w:sz w:val="24"/>
          <w:szCs w:val="24"/>
        </w:rPr>
        <w:t xml:space="preserve"> de ciê</w:t>
      </w:r>
      <w:r w:rsidR="00031617">
        <w:rPr>
          <w:rFonts w:asciiTheme="majorHAnsi" w:hAnsiTheme="majorHAnsi" w:cs="Arial"/>
          <w:sz w:val="24"/>
          <w:szCs w:val="24"/>
        </w:rPr>
        <w:t xml:space="preserve">ncias para 35 alunos (utilização como complementação do dia letivo, ou seja, não deve-se somar ao cômputo total de alunos).  Além dos espaços dedicados ao discentes, há os seguintes ambientes: 01 Sala para apoio pedagógico, </w:t>
      </w:r>
      <w:proofErr w:type="gramStart"/>
      <w:r w:rsidR="00031617">
        <w:rPr>
          <w:rFonts w:asciiTheme="majorHAnsi" w:hAnsiTheme="majorHAnsi" w:cs="Arial"/>
          <w:sz w:val="24"/>
          <w:szCs w:val="24"/>
        </w:rPr>
        <w:t>01 sala</w:t>
      </w:r>
      <w:proofErr w:type="gramEnd"/>
      <w:r w:rsidR="00031617">
        <w:rPr>
          <w:rFonts w:asciiTheme="majorHAnsi" w:hAnsiTheme="majorHAnsi" w:cs="Arial"/>
          <w:sz w:val="24"/>
          <w:szCs w:val="24"/>
        </w:rPr>
        <w:t xml:space="preserve"> para apoio didático, 01 sala para atividades de secretariado, 01 sala para coordenação, 01 sala para arquivo, 01 sala para diretoria, 01 sala para professores, além de 02 banheiros coletivos dispostos para uso masculino e feminino, 04 banheiros acessíveis sendo 02 masculinos e 02 femininos, onde 02 destes são para uso dos professores.</w:t>
      </w:r>
    </w:p>
    <w:p w:rsidR="00031617" w:rsidRDefault="00031617" w:rsidP="001968AC">
      <w:pPr>
        <w:spacing w:after="0" w:line="360" w:lineRule="auto"/>
        <w:jc w:val="both"/>
        <w:rPr>
          <w:rFonts w:asciiTheme="majorHAnsi" w:hAnsiTheme="majorHAnsi" w:cs="Arial"/>
          <w:sz w:val="24"/>
          <w:szCs w:val="24"/>
        </w:rPr>
      </w:pPr>
      <w:r>
        <w:rPr>
          <w:rFonts w:asciiTheme="majorHAnsi" w:hAnsiTheme="majorHAnsi" w:cs="Arial"/>
          <w:sz w:val="24"/>
          <w:szCs w:val="24"/>
        </w:rPr>
        <w:t>Este bloco totaliza 2.745,48 m² de área construída.  Sua fundação será de concreto ar</w:t>
      </w:r>
      <w:r w:rsidR="00171D5A">
        <w:rPr>
          <w:rFonts w:asciiTheme="majorHAnsi" w:hAnsiTheme="majorHAnsi" w:cs="Arial"/>
          <w:sz w:val="24"/>
          <w:szCs w:val="24"/>
        </w:rPr>
        <w:t>m</w:t>
      </w:r>
      <w:r>
        <w:rPr>
          <w:rFonts w:asciiTheme="majorHAnsi" w:hAnsiTheme="majorHAnsi" w:cs="Arial"/>
          <w:sz w:val="24"/>
          <w:szCs w:val="24"/>
        </w:rPr>
        <w:t xml:space="preserve">ado, paredes em alvenaria e forro de PVC.  No telhado serão utilizadas telhas isotérmicas </w:t>
      </w:r>
      <w:r w:rsidR="00171D5A">
        <w:rPr>
          <w:rFonts w:asciiTheme="majorHAnsi" w:hAnsiTheme="majorHAnsi" w:cs="Arial"/>
          <w:sz w:val="24"/>
          <w:szCs w:val="24"/>
        </w:rPr>
        <w:t>tipo chapa/chapa apoiadas em estrutura metálica.  As portas e janelas são de material metálico e vidro.</w:t>
      </w:r>
    </w:p>
    <w:p w:rsidR="00171D5A" w:rsidRDefault="00171D5A" w:rsidP="001968AC">
      <w:pPr>
        <w:spacing w:after="0" w:line="360" w:lineRule="auto"/>
        <w:jc w:val="both"/>
        <w:rPr>
          <w:rFonts w:asciiTheme="majorHAnsi" w:hAnsiTheme="majorHAnsi" w:cs="Arial"/>
          <w:sz w:val="24"/>
          <w:szCs w:val="24"/>
        </w:rPr>
      </w:pPr>
    </w:p>
    <w:p w:rsidR="00171D5A" w:rsidRPr="00171D5A" w:rsidRDefault="00171D5A" w:rsidP="001968AC">
      <w:pPr>
        <w:spacing w:after="0" w:line="360" w:lineRule="auto"/>
        <w:jc w:val="both"/>
        <w:rPr>
          <w:rFonts w:asciiTheme="majorHAnsi" w:hAnsiTheme="majorHAnsi" w:cs="Arial"/>
          <w:b/>
          <w:sz w:val="24"/>
          <w:szCs w:val="24"/>
        </w:rPr>
      </w:pPr>
      <w:r w:rsidRPr="00171D5A">
        <w:rPr>
          <w:rFonts w:asciiTheme="majorHAnsi" w:hAnsiTheme="majorHAnsi" w:cs="Arial"/>
          <w:b/>
          <w:sz w:val="24"/>
          <w:szCs w:val="24"/>
        </w:rPr>
        <w:t>Refeitório</w:t>
      </w:r>
    </w:p>
    <w:p w:rsidR="00171D5A" w:rsidRDefault="00171D5A" w:rsidP="00171D5A">
      <w:pPr>
        <w:spacing w:after="0" w:line="360" w:lineRule="auto"/>
        <w:jc w:val="both"/>
        <w:rPr>
          <w:rFonts w:asciiTheme="majorHAnsi" w:hAnsiTheme="majorHAnsi" w:cs="Arial"/>
          <w:sz w:val="24"/>
          <w:szCs w:val="24"/>
        </w:rPr>
      </w:pPr>
      <w:r>
        <w:rPr>
          <w:rFonts w:asciiTheme="majorHAnsi" w:hAnsiTheme="majorHAnsi" w:cs="Arial"/>
          <w:sz w:val="24"/>
          <w:szCs w:val="24"/>
        </w:rPr>
        <w:t xml:space="preserve">O refeitório é constituído por 01 salão aberto para refeições, </w:t>
      </w:r>
      <w:proofErr w:type="gramStart"/>
      <w:r>
        <w:rPr>
          <w:rFonts w:asciiTheme="majorHAnsi" w:hAnsiTheme="majorHAnsi" w:cs="Arial"/>
          <w:sz w:val="24"/>
          <w:szCs w:val="24"/>
        </w:rPr>
        <w:t>01 cozinha</w:t>
      </w:r>
      <w:proofErr w:type="gramEnd"/>
      <w:r>
        <w:rPr>
          <w:rFonts w:asciiTheme="majorHAnsi" w:hAnsiTheme="majorHAnsi" w:cs="Arial"/>
          <w:sz w:val="24"/>
          <w:szCs w:val="24"/>
        </w:rPr>
        <w:t>, 01 depósito de utensílios, 01 despensa de alimentos, 01 depósito de material de limpeza, 01 sala de triagem de alimentos, 01 alpendre para serviço e 02 banheiros com usos distintos masculino e feminino.</w:t>
      </w:r>
    </w:p>
    <w:p w:rsidR="00171D5A" w:rsidRDefault="00171D5A" w:rsidP="00171D5A">
      <w:pPr>
        <w:spacing w:after="0" w:line="360" w:lineRule="auto"/>
        <w:jc w:val="both"/>
        <w:rPr>
          <w:rFonts w:asciiTheme="majorHAnsi" w:hAnsiTheme="majorHAnsi" w:cs="Arial"/>
          <w:sz w:val="24"/>
          <w:szCs w:val="24"/>
        </w:rPr>
      </w:pPr>
      <w:r>
        <w:rPr>
          <w:rFonts w:asciiTheme="majorHAnsi" w:hAnsiTheme="majorHAnsi" w:cs="Arial"/>
          <w:sz w:val="24"/>
          <w:szCs w:val="24"/>
        </w:rPr>
        <w:lastRenderedPageBreak/>
        <w:t>Este bloco totaliza 343,65 m² de área construída.  Sua fundação será de concreto armado, paredes em alvenaria e forro de PVC</w:t>
      </w:r>
      <w:r w:rsidR="005D784C">
        <w:rPr>
          <w:rFonts w:asciiTheme="majorHAnsi" w:hAnsiTheme="majorHAnsi" w:cs="Arial"/>
          <w:sz w:val="24"/>
          <w:szCs w:val="24"/>
        </w:rPr>
        <w:t>, inclusive no salão aberto</w:t>
      </w:r>
      <w:r>
        <w:rPr>
          <w:rFonts w:asciiTheme="majorHAnsi" w:hAnsiTheme="majorHAnsi" w:cs="Arial"/>
          <w:sz w:val="24"/>
          <w:szCs w:val="24"/>
        </w:rPr>
        <w:t>.  No telhado serão utilizadas telhas isotérmicas tipo chapa/chapa apoiadas em estrutura metálica.  As portas e janelas são de material metálico e vidro.</w:t>
      </w:r>
    </w:p>
    <w:p w:rsidR="00171D5A" w:rsidRDefault="00171D5A" w:rsidP="001968AC">
      <w:pPr>
        <w:spacing w:after="0" w:line="360" w:lineRule="auto"/>
        <w:jc w:val="both"/>
        <w:rPr>
          <w:rFonts w:asciiTheme="majorHAnsi" w:hAnsiTheme="majorHAnsi" w:cs="Arial"/>
          <w:sz w:val="24"/>
          <w:szCs w:val="24"/>
        </w:rPr>
      </w:pPr>
    </w:p>
    <w:p w:rsidR="005D784C" w:rsidRPr="00171D5A" w:rsidRDefault="005D784C" w:rsidP="005D784C">
      <w:pPr>
        <w:spacing w:after="0" w:line="360" w:lineRule="auto"/>
        <w:jc w:val="both"/>
        <w:rPr>
          <w:rFonts w:asciiTheme="majorHAnsi" w:hAnsiTheme="majorHAnsi" w:cs="Arial"/>
          <w:b/>
          <w:sz w:val="24"/>
          <w:szCs w:val="24"/>
        </w:rPr>
      </w:pPr>
      <w:r>
        <w:rPr>
          <w:rFonts w:asciiTheme="majorHAnsi" w:hAnsiTheme="majorHAnsi" w:cs="Arial"/>
          <w:b/>
          <w:sz w:val="24"/>
          <w:szCs w:val="24"/>
        </w:rPr>
        <w:t>Quadra Poliesportiva</w:t>
      </w:r>
    </w:p>
    <w:p w:rsidR="005D784C" w:rsidRDefault="005D784C" w:rsidP="005D784C">
      <w:pPr>
        <w:spacing w:after="0" w:line="360" w:lineRule="auto"/>
        <w:jc w:val="both"/>
        <w:rPr>
          <w:rFonts w:asciiTheme="majorHAnsi" w:hAnsiTheme="majorHAnsi" w:cs="Arial"/>
          <w:sz w:val="24"/>
          <w:szCs w:val="24"/>
        </w:rPr>
      </w:pPr>
      <w:r>
        <w:rPr>
          <w:rFonts w:asciiTheme="majorHAnsi" w:hAnsiTheme="majorHAnsi" w:cs="Arial"/>
          <w:sz w:val="24"/>
          <w:szCs w:val="24"/>
        </w:rPr>
        <w:t>Esta é constituída por 01 pátio aberto para atividades desportivas diversas.  Totaliza 679,06 m² de área construída.  Sua fundação será de concreto armado, o fechamento será feito por paredes em alvenaria até meia altura, completados por alambrado metálico até a altura de ,00 m.  Na cobertura serão utilizadas telhas metálica apoiadas em estrutura metálica.</w:t>
      </w:r>
    </w:p>
    <w:p w:rsidR="005D784C" w:rsidRDefault="005D784C" w:rsidP="005D784C">
      <w:pPr>
        <w:spacing w:after="0" w:line="360" w:lineRule="auto"/>
        <w:jc w:val="both"/>
        <w:rPr>
          <w:rFonts w:asciiTheme="majorHAnsi" w:hAnsiTheme="majorHAnsi" w:cs="Arial"/>
          <w:sz w:val="24"/>
          <w:szCs w:val="24"/>
        </w:rPr>
      </w:pPr>
    </w:p>
    <w:p w:rsidR="005D784C" w:rsidRPr="005D784C" w:rsidRDefault="005D784C" w:rsidP="005D784C">
      <w:pPr>
        <w:spacing w:after="0" w:line="360" w:lineRule="auto"/>
        <w:jc w:val="both"/>
        <w:rPr>
          <w:rFonts w:asciiTheme="majorHAnsi" w:hAnsiTheme="majorHAnsi" w:cs="Arial"/>
          <w:b/>
          <w:sz w:val="24"/>
          <w:szCs w:val="24"/>
        </w:rPr>
      </w:pPr>
      <w:r w:rsidRPr="005D784C">
        <w:rPr>
          <w:rFonts w:asciiTheme="majorHAnsi" w:hAnsiTheme="majorHAnsi" w:cs="Arial"/>
          <w:b/>
          <w:sz w:val="24"/>
          <w:szCs w:val="24"/>
        </w:rPr>
        <w:t>Vestiários</w:t>
      </w:r>
    </w:p>
    <w:p w:rsidR="005D784C" w:rsidRDefault="005D784C" w:rsidP="005D784C">
      <w:pPr>
        <w:spacing w:after="0" w:line="360" w:lineRule="auto"/>
        <w:jc w:val="both"/>
        <w:rPr>
          <w:rFonts w:asciiTheme="majorHAnsi" w:hAnsiTheme="majorHAnsi" w:cs="Arial"/>
          <w:sz w:val="24"/>
          <w:szCs w:val="24"/>
        </w:rPr>
      </w:pPr>
      <w:r>
        <w:rPr>
          <w:rFonts w:asciiTheme="majorHAnsi" w:hAnsiTheme="majorHAnsi" w:cs="Arial"/>
          <w:sz w:val="24"/>
          <w:szCs w:val="24"/>
        </w:rPr>
        <w:t>Os vestiários serão constituídos por 02 ambientes coletivos distintos masculino de feminino, 01 depósito de material esportivo e 02 banheiros acessíveis também distintos masculino e feminino.  O edifício forma um retângulo de 18,0</w:t>
      </w:r>
      <w:r w:rsidR="00186559">
        <w:rPr>
          <w:rFonts w:asciiTheme="majorHAnsi" w:hAnsiTheme="majorHAnsi" w:cs="Arial"/>
          <w:sz w:val="24"/>
          <w:szCs w:val="24"/>
        </w:rPr>
        <w:t>8</w:t>
      </w:r>
      <w:r>
        <w:rPr>
          <w:rFonts w:asciiTheme="majorHAnsi" w:hAnsiTheme="majorHAnsi" w:cs="Arial"/>
          <w:sz w:val="24"/>
          <w:szCs w:val="24"/>
        </w:rPr>
        <w:t xml:space="preserve"> </w:t>
      </w:r>
      <w:proofErr w:type="gramStart"/>
      <w:r>
        <w:rPr>
          <w:rFonts w:asciiTheme="majorHAnsi" w:hAnsiTheme="majorHAnsi" w:cs="Arial"/>
          <w:sz w:val="24"/>
          <w:szCs w:val="24"/>
        </w:rPr>
        <w:t>x</w:t>
      </w:r>
      <w:proofErr w:type="gramEnd"/>
      <w:r>
        <w:rPr>
          <w:rFonts w:asciiTheme="majorHAnsi" w:hAnsiTheme="majorHAnsi" w:cs="Arial"/>
          <w:sz w:val="24"/>
          <w:szCs w:val="24"/>
        </w:rPr>
        <w:t xml:space="preserve"> 5,85 m.</w:t>
      </w:r>
    </w:p>
    <w:p w:rsidR="005D784C" w:rsidRDefault="005D784C" w:rsidP="005D784C">
      <w:pPr>
        <w:spacing w:after="0" w:line="360" w:lineRule="auto"/>
        <w:jc w:val="both"/>
        <w:rPr>
          <w:rFonts w:asciiTheme="majorHAnsi" w:hAnsiTheme="majorHAnsi" w:cs="Arial"/>
          <w:sz w:val="24"/>
          <w:szCs w:val="24"/>
        </w:rPr>
      </w:pPr>
      <w:r>
        <w:rPr>
          <w:rFonts w:asciiTheme="majorHAnsi" w:hAnsiTheme="majorHAnsi" w:cs="Arial"/>
          <w:sz w:val="24"/>
          <w:szCs w:val="24"/>
        </w:rPr>
        <w:t xml:space="preserve">Este bloco totaliza </w:t>
      </w:r>
      <w:r w:rsidR="00186559">
        <w:rPr>
          <w:rFonts w:asciiTheme="majorHAnsi" w:hAnsiTheme="majorHAnsi" w:cs="Arial"/>
          <w:sz w:val="24"/>
          <w:szCs w:val="24"/>
        </w:rPr>
        <w:t>105,59</w:t>
      </w:r>
      <w:r>
        <w:rPr>
          <w:rFonts w:asciiTheme="majorHAnsi" w:hAnsiTheme="majorHAnsi" w:cs="Arial"/>
          <w:sz w:val="24"/>
          <w:szCs w:val="24"/>
        </w:rPr>
        <w:t xml:space="preserve"> m² de área construída.  Sua fundação será de concreto armado, paredes em alvenaria.  No telhado serão utilizadas telhas isotérmicas tipo chapa/chapa apoiadas em estrutura metálica</w:t>
      </w:r>
      <w:r w:rsidR="00186559">
        <w:rPr>
          <w:rFonts w:asciiTheme="majorHAnsi" w:hAnsiTheme="majorHAnsi" w:cs="Arial"/>
          <w:sz w:val="24"/>
          <w:szCs w:val="24"/>
        </w:rPr>
        <w:t xml:space="preserve"> e sem forro</w:t>
      </w:r>
      <w:r>
        <w:rPr>
          <w:rFonts w:asciiTheme="majorHAnsi" w:hAnsiTheme="majorHAnsi" w:cs="Arial"/>
          <w:sz w:val="24"/>
          <w:szCs w:val="24"/>
        </w:rPr>
        <w:t>.  As portas são de material metálico</w:t>
      </w:r>
      <w:r w:rsidR="00186559">
        <w:rPr>
          <w:rFonts w:asciiTheme="majorHAnsi" w:hAnsiTheme="majorHAnsi" w:cs="Arial"/>
          <w:sz w:val="24"/>
          <w:szCs w:val="24"/>
        </w:rPr>
        <w:t xml:space="preserve"> e as ventilações são por elementos vazados (</w:t>
      </w:r>
      <w:proofErr w:type="spellStart"/>
      <w:r w:rsidR="00186559">
        <w:rPr>
          <w:rFonts w:asciiTheme="majorHAnsi" w:hAnsiTheme="majorHAnsi" w:cs="Arial"/>
          <w:sz w:val="24"/>
          <w:szCs w:val="24"/>
        </w:rPr>
        <w:t>cobogó</w:t>
      </w:r>
      <w:proofErr w:type="spellEnd"/>
      <w:r w:rsidR="00186559">
        <w:rPr>
          <w:rFonts w:asciiTheme="majorHAnsi" w:hAnsiTheme="majorHAnsi" w:cs="Arial"/>
          <w:sz w:val="24"/>
          <w:szCs w:val="24"/>
        </w:rPr>
        <w:t>) em concreto</w:t>
      </w:r>
      <w:r>
        <w:rPr>
          <w:rFonts w:asciiTheme="majorHAnsi" w:hAnsiTheme="majorHAnsi" w:cs="Arial"/>
          <w:sz w:val="24"/>
          <w:szCs w:val="24"/>
        </w:rPr>
        <w:t>.</w:t>
      </w:r>
    </w:p>
    <w:p w:rsidR="005D784C" w:rsidRDefault="005D784C" w:rsidP="005D784C">
      <w:pPr>
        <w:spacing w:after="0" w:line="360" w:lineRule="auto"/>
        <w:jc w:val="both"/>
        <w:rPr>
          <w:rFonts w:asciiTheme="majorHAnsi" w:hAnsiTheme="majorHAnsi" w:cs="Arial"/>
          <w:sz w:val="24"/>
          <w:szCs w:val="24"/>
        </w:rPr>
      </w:pPr>
    </w:p>
    <w:p w:rsidR="00186559" w:rsidRPr="00186559" w:rsidRDefault="00186559" w:rsidP="00186559">
      <w:pPr>
        <w:spacing w:after="0" w:line="360" w:lineRule="auto"/>
        <w:jc w:val="both"/>
        <w:rPr>
          <w:rFonts w:asciiTheme="majorHAnsi" w:hAnsiTheme="majorHAnsi" w:cs="Arial"/>
          <w:sz w:val="24"/>
          <w:szCs w:val="24"/>
        </w:rPr>
      </w:pPr>
      <w:r>
        <w:rPr>
          <w:rFonts w:asciiTheme="majorHAnsi" w:hAnsiTheme="majorHAnsi" w:cs="Arial"/>
          <w:sz w:val="24"/>
          <w:szCs w:val="24"/>
        </w:rPr>
        <w:t xml:space="preserve">A circulação entre os blocos (ou edificações) será feita por rotas com piso em concreto magro sem fechamentos.  </w:t>
      </w:r>
      <w:r w:rsidR="00C649F2">
        <w:rPr>
          <w:rFonts w:asciiTheme="majorHAnsi" w:hAnsiTheme="majorHAnsi" w:cs="Arial"/>
          <w:sz w:val="24"/>
          <w:szCs w:val="24"/>
        </w:rPr>
        <w:t xml:space="preserve">A NTCB 01, Anexo </w:t>
      </w:r>
      <w:proofErr w:type="gramStart"/>
      <w:r w:rsidR="00C649F2">
        <w:rPr>
          <w:rFonts w:asciiTheme="majorHAnsi" w:hAnsiTheme="majorHAnsi" w:cs="Arial"/>
          <w:sz w:val="24"/>
          <w:szCs w:val="24"/>
        </w:rPr>
        <w:t>A,</w:t>
      </w:r>
      <w:r w:rsidRPr="00186559">
        <w:rPr>
          <w:rFonts w:asciiTheme="majorHAnsi" w:hAnsiTheme="majorHAnsi" w:cs="Arial"/>
          <w:sz w:val="24"/>
          <w:szCs w:val="24"/>
        </w:rPr>
        <w:t xml:space="preserve"> Tabela</w:t>
      </w:r>
      <w:proofErr w:type="gramEnd"/>
      <w:r w:rsidRPr="00186559">
        <w:rPr>
          <w:rFonts w:asciiTheme="majorHAnsi" w:hAnsiTheme="majorHAnsi" w:cs="Arial"/>
          <w:sz w:val="24"/>
          <w:szCs w:val="24"/>
        </w:rPr>
        <w:t xml:space="preserve"> 11-E, as medidas de segurança contra</w:t>
      </w:r>
      <w:r>
        <w:rPr>
          <w:rFonts w:asciiTheme="majorHAnsi" w:hAnsiTheme="majorHAnsi" w:cs="Arial"/>
          <w:sz w:val="24"/>
          <w:szCs w:val="24"/>
        </w:rPr>
        <w:t xml:space="preserve"> </w:t>
      </w:r>
      <w:r w:rsidRPr="00186559">
        <w:rPr>
          <w:rFonts w:asciiTheme="majorHAnsi" w:hAnsiTheme="majorHAnsi" w:cs="Arial"/>
          <w:sz w:val="24"/>
          <w:szCs w:val="24"/>
        </w:rPr>
        <w:t>incêndio e pânico exigidas são:</w:t>
      </w:r>
    </w:p>
    <w:p w:rsidR="00186559" w:rsidRPr="00186559" w:rsidRDefault="00186559" w:rsidP="00186559">
      <w:pPr>
        <w:spacing w:after="0" w:line="360" w:lineRule="auto"/>
        <w:jc w:val="both"/>
        <w:rPr>
          <w:rFonts w:asciiTheme="majorHAnsi" w:hAnsiTheme="majorHAnsi" w:cs="Arial"/>
          <w:sz w:val="24"/>
          <w:szCs w:val="24"/>
        </w:rPr>
      </w:pPr>
      <w:r w:rsidRPr="00186559">
        <w:rPr>
          <w:rFonts w:asciiTheme="majorHAnsi" w:hAnsiTheme="majorHAnsi" w:cs="Arial"/>
          <w:sz w:val="24"/>
          <w:szCs w:val="24"/>
        </w:rPr>
        <w:t>i. Acesso de viatura;</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t>ii</w:t>
      </w:r>
      <w:proofErr w:type="spellEnd"/>
      <w:r w:rsidRPr="00186559">
        <w:rPr>
          <w:rFonts w:asciiTheme="majorHAnsi" w:hAnsiTheme="majorHAnsi" w:cs="Arial"/>
          <w:sz w:val="24"/>
          <w:szCs w:val="24"/>
        </w:rPr>
        <w:t>. Alarme de incêndio;</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t>iii</w:t>
      </w:r>
      <w:proofErr w:type="spellEnd"/>
      <w:r w:rsidRPr="00186559">
        <w:rPr>
          <w:rFonts w:asciiTheme="majorHAnsi" w:hAnsiTheme="majorHAnsi" w:cs="Arial"/>
          <w:sz w:val="24"/>
          <w:szCs w:val="24"/>
        </w:rPr>
        <w:t>. Brigada de incêndio;</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t>iv</w:t>
      </w:r>
      <w:proofErr w:type="spellEnd"/>
      <w:r w:rsidRPr="00186559">
        <w:rPr>
          <w:rFonts w:asciiTheme="majorHAnsi" w:hAnsiTheme="majorHAnsi" w:cs="Arial"/>
          <w:sz w:val="24"/>
          <w:szCs w:val="24"/>
        </w:rPr>
        <w:t>. Controle de materiais de acabamento;</w:t>
      </w:r>
    </w:p>
    <w:p w:rsidR="00186559" w:rsidRPr="00186559" w:rsidRDefault="00186559" w:rsidP="00186559">
      <w:pPr>
        <w:spacing w:after="0" w:line="360" w:lineRule="auto"/>
        <w:jc w:val="both"/>
        <w:rPr>
          <w:rFonts w:asciiTheme="majorHAnsi" w:hAnsiTheme="majorHAnsi" w:cs="Arial"/>
          <w:sz w:val="24"/>
          <w:szCs w:val="24"/>
        </w:rPr>
      </w:pPr>
      <w:r w:rsidRPr="00186559">
        <w:rPr>
          <w:rFonts w:asciiTheme="majorHAnsi" w:hAnsiTheme="majorHAnsi" w:cs="Arial"/>
          <w:sz w:val="24"/>
          <w:szCs w:val="24"/>
        </w:rPr>
        <w:t>v. Extintores;</w:t>
      </w:r>
    </w:p>
    <w:p w:rsidR="00186559" w:rsidRPr="00186559" w:rsidRDefault="00186559" w:rsidP="00186559">
      <w:pPr>
        <w:spacing w:after="0" w:line="360" w:lineRule="auto"/>
        <w:jc w:val="both"/>
        <w:rPr>
          <w:rFonts w:asciiTheme="majorHAnsi" w:hAnsiTheme="majorHAnsi" w:cs="Arial"/>
          <w:sz w:val="24"/>
          <w:szCs w:val="24"/>
        </w:rPr>
      </w:pPr>
      <w:r w:rsidRPr="00186559">
        <w:rPr>
          <w:rFonts w:asciiTheme="majorHAnsi" w:hAnsiTheme="majorHAnsi" w:cs="Arial"/>
          <w:sz w:val="24"/>
          <w:szCs w:val="24"/>
        </w:rPr>
        <w:t xml:space="preserve">vi. Hidrante e </w:t>
      </w:r>
      <w:proofErr w:type="spellStart"/>
      <w:r w:rsidRPr="00186559">
        <w:rPr>
          <w:rFonts w:asciiTheme="majorHAnsi" w:hAnsiTheme="majorHAnsi" w:cs="Arial"/>
          <w:sz w:val="24"/>
          <w:szCs w:val="24"/>
        </w:rPr>
        <w:t>mangotinhos</w:t>
      </w:r>
      <w:proofErr w:type="spellEnd"/>
      <w:r w:rsidRPr="00186559">
        <w:rPr>
          <w:rFonts w:asciiTheme="majorHAnsi" w:hAnsiTheme="majorHAnsi" w:cs="Arial"/>
          <w:sz w:val="24"/>
          <w:szCs w:val="24"/>
        </w:rPr>
        <w:t>;</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t>vii</w:t>
      </w:r>
      <w:proofErr w:type="spellEnd"/>
      <w:r w:rsidRPr="00186559">
        <w:rPr>
          <w:rFonts w:asciiTheme="majorHAnsi" w:hAnsiTheme="majorHAnsi" w:cs="Arial"/>
          <w:sz w:val="24"/>
          <w:szCs w:val="24"/>
        </w:rPr>
        <w:t>. Iluminação de emergência;</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t>viii</w:t>
      </w:r>
      <w:proofErr w:type="spellEnd"/>
      <w:r w:rsidRPr="00186559">
        <w:rPr>
          <w:rFonts w:asciiTheme="majorHAnsi" w:hAnsiTheme="majorHAnsi" w:cs="Arial"/>
          <w:sz w:val="24"/>
          <w:szCs w:val="24"/>
        </w:rPr>
        <w:t>. Resistência do fogo aos elementos de construção;</w:t>
      </w:r>
    </w:p>
    <w:p w:rsidR="00186559" w:rsidRPr="00186559" w:rsidRDefault="00186559" w:rsidP="00186559">
      <w:pPr>
        <w:spacing w:after="0" w:line="360" w:lineRule="auto"/>
        <w:jc w:val="both"/>
        <w:rPr>
          <w:rFonts w:asciiTheme="majorHAnsi" w:hAnsiTheme="majorHAnsi" w:cs="Arial"/>
          <w:sz w:val="24"/>
          <w:szCs w:val="24"/>
        </w:rPr>
      </w:pPr>
      <w:proofErr w:type="spellStart"/>
      <w:r w:rsidRPr="00186559">
        <w:rPr>
          <w:rFonts w:asciiTheme="majorHAnsi" w:hAnsiTheme="majorHAnsi" w:cs="Arial"/>
          <w:sz w:val="24"/>
          <w:szCs w:val="24"/>
        </w:rPr>
        <w:lastRenderedPageBreak/>
        <w:t>ix</w:t>
      </w:r>
      <w:proofErr w:type="spellEnd"/>
      <w:r w:rsidRPr="00186559">
        <w:rPr>
          <w:rFonts w:asciiTheme="majorHAnsi" w:hAnsiTheme="majorHAnsi" w:cs="Arial"/>
          <w:sz w:val="24"/>
          <w:szCs w:val="24"/>
        </w:rPr>
        <w:t>. Saídas de emergência;</w:t>
      </w:r>
    </w:p>
    <w:p w:rsidR="005D784C" w:rsidRDefault="00186559" w:rsidP="00186559">
      <w:pPr>
        <w:spacing w:after="0" w:line="360" w:lineRule="auto"/>
        <w:jc w:val="both"/>
        <w:rPr>
          <w:rFonts w:asciiTheme="majorHAnsi" w:hAnsiTheme="majorHAnsi" w:cs="Arial"/>
          <w:sz w:val="24"/>
          <w:szCs w:val="24"/>
        </w:rPr>
      </w:pPr>
      <w:r w:rsidRPr="00186559">
        <w:rPr>
          <w:rFonts w:asciiTheme="majorHAnsi" w:hAnsiTheme="majorHAnsi" w:cs="Arial"/>
          <w:sz w:val="24"/>
          <w:szCs w:val="24"/>
        </w:rPr>
        <w:t>x. Sinalização de emergência.</w:t>
      </w:r>
    </w:p>
    <w:p w:rsidR="000E16D3" w:rsidRDefault="000E16D3" w:rsidP="001968AC">
      <w:pPr>
        <w:spacing w:after="0" w:line="360" w:lineRule="auto"/>
        <w:jc w:val="both"/>
        <w:rPr>
          <w:rFonts w:asciiTheme="majorHAnsi" w:hAnsiTheme="majorHAnsi" w:cs="Arial"/>
          <w:sz w:val="24"/>
          <w:szCs w:val="24"/>
        </w:rPr>
      </w:pPr>
    </w:p>
    <w:p w:rsidR="00186559" w:rsidRDefault="00186559" w:rsidP="00186559">
      <w:pPr>
        <w:spacing w:after="0" w:line="360" w:lineRule="auto"/>
        <w:jc w:val="both"/>
        <w:rPr>
          <w:rFonts w:asciiTheme="majorHAnsi" w:hAnsiTheme="majorHAnsi" w:cs="Arial"/>
          <w:sz w:val="24"/>
          <w:szCs w:val="24"/>
        </w:rPr>
      </w:pPr>
      <w:r w:rsidRPr="00186559">
        <w:rPr>
          <w:rFonts w:asciiTheme="majorHAnsi" w:hAnsiTheme="majorHAnsi" w:cs="Arial"/>
          <w:sz w:val="24"/>
          <w:szCs w:val="24"/>
        </w:rPr>
        <w:t>Não há necessidade de detecção de incêndio pois não há alojamento ou</w:t>
      </w:r>
      <w:r>
        <w:rPr>
          <w:rFonts w:asciiTheme="majorHAnsi" w:hAnsiTheme="majorHAnsi" w:cs="Arial"/>
          <w:sz w:val="24"/>
          <w:szCs w:val="24"/>
        </w:rPr>
        <w:t xml:space="preserve"> </w:t>
      </w:r>
      <w:r w:rsidRPr="00186559">
        <w:rPr>
          <w:rFonts w:asciiTheme="majorHAnsi" w:hAnsiTheme="majorHAnsi" w:cs="Arial"/>
          <w:sz w:val="24"/>
          <w:szCs w:val="24"/>
        </w:rPr>
        <w:t>dormitório.</w:t>
      </w:r>
    </w:p>
    <w:p w:rsidR="00186559" w:rsidRDefault="00186559" w:rsidP="001968AC">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421"/>
        <w:gridCol w:w="3685"/>
        <w:gridCol w:w="425"/>
        <w:gridCol w:w="3963"/>
      </w:tblGrid>
      <w:tr w:rsidR="002516D9" w:rsidTr="002516D9">
        <w:tc>
          <w:tcPr>
            <w:tcW w:w="8494" w:type="dxa"/>
            <w:gridSpan w:val="4"/>
            <w:shd w:val="clear" w:color="auto" w:fill="BFBFBF" w:themeFill="background1" w:themeFillShade="BF"/>
          </w:tcPr>
          <w:p w:rsidR="002516D9" w:rsidRDefault="002516D9" w:rsidP="002516D9">
            <w:pPr>
              <w:spacing w:line="360" w:lineRule="auto"/>
              <w:rPr>
                <w:rFonts w:asciiTheme="majorHAnsi" w:hAnsiTheme="majorHAnsi" w:cs="Arial"/>
                <w:sz w:val="24"/>
                <w:szCs w:val="24"/>
              </w:rPr>
            </w:pPr>
            <w:r>
              <w:rPr>
                <w:rFonts w:asciiTheme="majorHAnsi" w:hAnsiTheme="majorHAnsi" w:cs="Arial"/>
                <w:sz w:val="24"/>
                <w:szCs w:val="24"/>
              </w:rPr>
              <w:t>5.1.3 MEDIDAS DE SEGURANÇA CONTRA INCÊNDIO E PÂNICO</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186559" w:rsidP="002516D9">
            <w:pPr>
              <w:jc w:val="both"/>
              <w:rPr>
                <w:rFonts w:asciiTheme="majorHAnsi" w:hAnsiTheme="majorHAnsi" w:cs="Arial"/>
              </w:rPr>
            </w:pPr>
            <w:r w:rsidRPr="002516D9">
              <w:rPr>
                <w:rFonts w:asciiTheme="majorHAnsi" w:hAnsiTheme="majorHAnsi" w:cs="Arial"/>
              </w:rPr>
              <w:t>Acesso de viatura do CBMMT</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Separação entre edificações</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Resistência ao fogo dos elementos de construção</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Compartimentação horizontal</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Compartimentação vertical</w:t>
            </w:r>
          </w:p>
        </w:tc>
        <w:tc>
          <w:tcPr>
            <w:tcW w:w="425" w:type="dxa"/>
          </w:tcPr>
          <w:p w:rsidR="00186559" w:rsidRPr="002516D9" w:rsidRDefault="002516D9" w:rsidP="002516D9">
            <w:pPr>
              <w:jc w:val="both"/>
              <w:rPr>
                <w:rFonts w:asciiTheme="majorHAnsi" w:hAnsiTheme="majorHAnsi" w:cs="Arial"/>
              </w:rPr>
            </w:pPr>
            <w:r>
              <w:rPr>
                <w:rFonts w:asciiTheme="majorHAnsi" w:hAnsiTheme="majorHAnsi" w:cs="Arial"/>
              </w:rPr>
              <w:t>X</w:t>
            </w: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Controle de material de acabamento</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Saídas de emergência</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Elevador de emergência</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Controle de fumaça</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Gerenciamento de risco de incêndio</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Brigada de incêndio</w:t>
            </w:r>
          </w:p>
        </w:tc>
        <w:tc>
          <w:tcPr>
            <w:tcW w:w="425" w:type="dxa"/>
          </w:tcPr>
          <w:p w:rsidR="00186559" w:rsidRPr="002516D9" w:rsidRDefault="002516D9" w:rsidP="002516D9">
            <w:pPr>
              <w:jc w:val="both"/>
              <w:rPr>
                <w:rFonts w:asciiTheme="majorHAnsi" w:hAnsiTheme="majorHAnsi" w:cs="Arial"/>
              </w:rPr>
            </w:pPr>
            <w:r>
              <w:rPr>
                <w:rFonts w:asciiTheme="majorHAnsi" w:hAnsiTheme="majorHAnsi" w:cs="Arial"/>
              </w:rPr>
              <w:t>X</w:t>
            </w: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Iluminação de emergência</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Detecção de incêndio</w:t>
            </w:r>
          </w:p>
        </w:tc>
        <w:tc>
          <w:tcPr>
            <w:tcW w:w="425" w:type="dxa"/>
          </w:tcPr>
          <w:p w:rsidR="00186559" w:rsidRPr="002516D9" w:rsidRDefault="002516D9" w:rsidP="002516D9">
            <w:pPr>
              <w:jc w:val="both"/>
              <w:rPr>
                <w:rFonts w:asciiTheme="majorHAnsi" w:hAnsiTheme="majorHAnsi" w:cs="Arial"/>
              </w:rPr>
            </w:pPr>
            <w:r>
              <w:rPr>
                <w:rFonts w:asciiTheme="majorHAnsi" w:hAnsiTheme="majorHAnsi" w:cs="Arial"/>
              </w:rPr>
              <w:t>X</w:t>
            </w: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Alarme de incêndio</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Sinalização de emergência</w:t>
            </w:r>
          </w:p>
        </w:tc>
        <w:tc>
          <w:tcPr>
            <w:tcW w:w="425" w:type="dxa"/>
          </w:tcPr>
          <w:p w:rsidR="00186559" w:rsidRPr="002516D9" w:rsidRDefault="002516D9" w:rsidP="002516D9">
            <w:pPr>
              <w:jc w:val="both"/>
              <w:rPr>
                <w:rFonts w:asciiTheme="majorHAnsi" w:hAnsiTheme="majorHAnsi" w:cs="Arial"/>
              </w:rPr>
            </w:pPr>
            <w:r>
              <w:rPr>
                <w:rFonts w:asciiTheme="majorHAnsi" w:hAnsiTheme="majorHAnsi" w:cs="Arial"/>
              </w:rPr>
              <w:t>X</w:t>
            </w: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Extintores</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 xml:space="preserve">Hidrante e </w:t>
            </w:r>
            <w:proofErr w:type="spellStart"/>
            <w:r w:rsidRPr="002516D9">
              <w:rPr>
                <w:rFonts w:asciiTheme="majorHAnsi" w:hAnsiTheme="majorHAnsi" w:cs="Arial"/>
              </w:rPr>
              <w:t>mangotinhos</w:t>
            </w:r>
            <w:proofErr w:type="spellEnd"/>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Chuveiros automáticos (sprinkler)</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Resfriamento</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Espuma</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Sistema fixo de gases limpos e CO</w:t>
            </w:r>
            <w:r w:rsidRPr="002516D9">
              <w:rPr>
                <w:rFonts w:asciiTheme="majorHAnsi" w:hAnsiTheme="majorHAnsi" w:cs="Arial"/>
                <w:vertAlign w:val="subscript"/>
              </w:rPr>
              <w:t>2</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Instalação predial de gás liquefeito de petróleo</w:t>
            </w:r>
          </w:p>
        </w:tc>
      </w:tr>
      <w:tr w:rsidR="00186559" w:rsidTr="00186559">
        <w:tc>
          <w:tcPr>
            <w:tcW w:w="421"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Sistema de proteção contra descargas atmosféricas (SPDA)</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Sistema para monitoramento, suspensão e alivio de explosões e/ou poeiras</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Pr="002516D9" w:rsidRDefault="002516D9" w:rsidP="002516D9">
            <w:pPr>
              <w:jc w:val="both"/>
              <w:rPr>
                <w:rFonts w:asciiTheme="majorHAnsi" w:hAnsiTheme="majorHAnsi" w:cs="Arial"/>
              </w:rPr>
            </w:pPr>
            <w:r w:rsidRPr="002516D9">
              <w:rPr>
                <w:rFonts w:asciiTheme="majorHAnsi" w:hAnsiTheme="majorHAnsi" w:cs="Arial"/>
              </w:rPr>
              <w:t>Plano de intervenção de incêndio</w:t>
            </w:r>
          </w:p>
        </w:tc>
        <w:tc>
          <w:tcPr>
            <w:tcW w:w="425" w:type="dxa"/>
          </w:tcPr>
          <w:p w:rsidR="00186559" w:rsidRPr="002516D9" w:rsidRDefault="00186559" w:rsidP="002516D9">
            <w:pPr>
              <w:jc w:val="both"/>
              <w:rPr>
                <w:rFonts w:asciiTheme="majorHAnsi" w:hAnsiTheme="majorHAnsi" w:cs="Arial"/>
              </w:rPr>
            </w:pPr>
          </w:p>
        </w:tc>
        <w:tc>
          <w:tcPr>
            <w:tcW w:w="3963" w:type="dxa"/>
          </w:tcPr>
          <w:p w:rsidR="00186559" w:rsidRPr="002516D9" w:rsidRDefault="00186559" w:rsidP="002516D9">
            <w:pPr>
              <w:jc w:val="both"/>
              <w:rPr>
                <w:rFonts w:asciiTheme="majorHAnsi" w:hAnsiTheme="majorHAnsi" w:cs="Arial"/>
              </w:rPr>
            </w:pPr>
            <w:r w:rsidRPr="002516D9">
              <w:rPr>
                <w:rFonts w:asciiTheme="majorHAnsi" w:hAnsiTheme="majorHAnsi" w:cs="Arial"/>
              </w:rPr>
              <w:t>Escada pressurizada</w:t>
            </w:r>
          </w:p>
        </w:tc>
      </w:tr>
      <w:tr w:rsidR="002516D9" w:rsidTr="002516D9">
        <w:tc>
          <w:tcPr>
            <w:tcW w:w="421" w:type="dxa"/>
            <w:tcBorders>
              <w:bottom w:val="single" w:sz="4" w:space="0" w:color="auto"/>
            </w:tcBorders>
          </w:tcPr>
          <w:p w:rsidR="002516D9" w:rsidRDefault="002516D9" w:rsidP="002516D9">
            <w:pPr>
              <w:jc w:val="both"/>
              <w:rPr>
                <w:rFonts w:asciiTheme="majorHAnsi" w:hAnsiTheme="majorHAnsi" w:cs="Arial"/>
                <w:sz w:val="24"/>
                <w:szCs w:val="24"/>
              </w:rPr>
            </w:pPr>
          </w:p>
        </w:tc>
        <w:tc>
          <w:tcPr>
            <w:tcW w:w="8073" w:type="dxa"/>
            <w:gridSpan w:val="3"/>
            <w:tcBorders>
              <w:bottom w:val="single" w:sz="4" w:space="0" w:color="auto"/>
            </w:tcBorders>
          </w:tcPr>
          <w:p w:rsidR="002516D9" w:rsidRPr="002516D9" w:rsidRDefault="002516D9" w:rsidP="002516D9">
            <w:pPr>
              <w:jc w:val="both"/>
              <w:rPr>
                <w:rFonts w:asciiTheme="majorHAnsi" w:hAnsiTheme="majorHAnsi" w:cs="Arial"/>
              </w:rPr>
            </w:pPr>
            <w:r w:rsidRPr="002516D9">
              <w:rPr>
                <w:rFonts w:asciiTheme="majorHAnsi" w:hAnsiTheme="majorHAnsi" w:cs="Arial"/>
              </w:rPr>
              <w:t>Outros (</w:t>
            </w:r>
            <w:proofErr w:type="spellStart"/>
            <w:r w:rsidRPr="002516D9">
              <w:rPr>
                <w:rFonts w:asciiTheme="majorHAnsi" w:hAnsiTheme="majorHAnsi" w:cs="Arial"/>
              </w:rPr>
              <w:t>espeficar</w:t>
            </w:r>
            <w:proofErr w:type="spellEnd"/>
            <w:r w:rsidRPr="002516D9">
              <w:rPr>
                <w:rFonts w:asciiTheme="majorHAnsi" w:hAnsiTheme="majorHAnsi" w:cs="Arial"/>
              </w:rPr>
              <w:t>):</w:t>
            </w:r>
          </w:p>
        </w:tc>
      </w:tr>
      <w:tr w:rsidR="002516D9" w:rsidTr="002516D9">
        <w:tc>
          <w:tcPr>
            <w:tcW w:w="8494" w:type="dxa"/>
            <w:gridSpan w:val="4"/>
            <w:shd w:val="clear" w:color="auto" w:fill="BFBFBF" w:themeFill="background1" w:themeFillShade="BF"/>
          </w:tcPr>
          <w:p w:rsidR="002516D9" w:rsidRDefault="002516D9" w:rsidP="0092596A">
            <w:pPr>
              <w:spacing w:line="360" w:lineRule="auto"/>
              <w:jc w:val="center"/>
              <w:rPr>
                <w:rFonts w:asciiTheme="majorHAnsi" w:hAnsiTheme="majorHAnsi" w:cs="Arial"/>
                <w:sz w:val="24"/>
                <w:szCs w:val="24"/>
              </w:rPr>
            </w:pPr>
            <w:r>
              <w:rPr>
                <w:rFonts w:asciiTheme="majorHAnsi" w:hAnsiTheme="majorHAnsi" w:cs="Arial"/>
                <w:sz w:val="24"/>
                <w:szCs w:val="24"/>
              </w:rPr>
              <w:t>RISCOS ESPECIAS</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Armazenamento de líquidos combustíveis e/ou inflamáveis</w:t>
            </w:r>
          </w:p>
        </w:tc>
        <w:tc>
          <w:tcPr>
            <w:tcW w:w="425" w:type="dxa"/>
          </w:tcPr>
          <w:p w:rsidR="00186559" w:rsidRDefault="00186559" w:rsidP="002516D9">
            <w:pPr>
              <w:jc w:val="both"/>
              <w:rPr>
                <w:rFonts w:asciiTheme="majorHAnsi" w:hAnsiTheme="majorHAnsi" w:cs="Arial"/>
                <w:sz w:val="24"/>
                <w:szCs w:val="24"/>
              </w:rPr>
            </w:pPr>
          </w:p>
        </w:tc>
        <w:tc>
          <w:tcPr>
            <w:tcW w:w="3963"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Armazenamento de fogos de artifício e/ou explosivos</w:t>
            </w:r>
          </w:p>
        </w:tc>
      </w:tr>
      <w:tr w:rsidR="00186559" w:rsidTr="00186559">
        <w:tc>
          <w:tcPr>
            <w:tcW w:w="421" w:type="dxa"/>
          </w:tcPr>
          <w:p w:rsidR="00186559" w:rsidRDefault="0092596A" w:rsidP="002516D9">
            <w:pPr>
              <w:jc w:val="both"/>
              <w:rPr>
                <w:rFonts w:asciiTheme="majorHAnsi" w:hAnsiTheme="majorHAnsi" w:cs="Arial"/>
                <w:sz w:val="24"/>
                <w:szCs w:val="24"/>
              </w:rPr>
            </w:pPr>
            <w:r>
              <w:rPr>
                <w:rFonts w:asciiTheme="majorHAnsi" w:hAnsiTheme="majorHAnsi" w:cs="Arial"/>
                <w:sz w:val="24"/>
                <w:szCs w:val="24"/>
              </w:rPr>
              <w:t>X</w:t>
            </w:r>
          </w:p>
        </w:tc>
        <w:tc>
          <w:tcPr>
            <w:tcW w:w="3685"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Armazenamento de gases combustíveis</w:t>
            </w:r>
          </w:p>
        </w:tc>
        <w:tc>
          <w:tcPr>
            <w:tcW w:w="425" w:type="dxa"/>
          </w:tcPr>
          <w:p w:rsidR="00186559" w:rsidRDefault="00186559" w:rsidP="002516D9">
            <w:pPr>
              <w:jc w:val="both"/>
              <w:rPr>
                <w:rFonts w:asciiTheme="majorHAnsi" w:hAnsiTheme="majorHAnsi" w:cs="Arial"/>
                <w:sz w:val="24"/>
                <w:szCs w:val="24"/>
              </w:rPr>
            </w:pPr>
          </w:p>
        </w:tc>
        <w:tc>
          <w:tcPr>
            <w:tcW w:w="3963"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Vasos sob pressão</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Armazenamento de produtos perigosos</w:t>
            </w:r>
          </w:p>
        </w:tc>
        <w:tc>
          <w:tcPr>
            <w:tcW w:w="425" w:type="dxa"/>
          </w:tcPr>
          <w:p w:rsidR="00186559" w:rsidRDefault="00186559" w:rsidP="002516D9">
            <w:pPr>
              <w:jc w:val="both"/>
              <w:rPr>
                <w:rFonts w:asciiTheme="majorHAnsi" w:hAnsiTheme="majorHAnsi" w:cs="Arial"/>
                <w:sz w:val="24"/>
                <w:szCs w:val="24"/>
              </w:rPr>
            </w:pPr>
          </w:p>
        </w:tc>
        <w:tc>
          <w:tcPr>
            <w:tcW w:w="3963" w:type="dxa"/>
          </w:tcPr>
          <w:p w:rsidR="00186559" w:rsidRDefault="002516D9" w:rsidP="002516D9">
            <w:pPr>
              <w:jc w:val="both"/>
              <w:rPr>
                <w:rFonts w:asciiTheme="majorHAnsi" w:hAnsiTheme="majorHAnsi" w:cs="Arial"/>
                <w:sz w:val="24"/>
                <w:szCs w:val="24"/>
              </w:rPr>
            </w:pPr>
            <w:proofErr w:type="spellStart"/>
            <w:r>
              <w:rPr>
                <w:rFonts w:asciiTheme="majorHAnsi" w:hAnsiTheme="majorHAnsi" w:cs="Arial"/>
                <w:sz w:val="24"/>
                <w:szCs w:val="24"/>
              </w:rPr>
              <w:t>Heliponto</w:t>
            </w:r>
            <w:proofErr w:type="spellEnd"/>
            <w:r>
              <w:rPr>
                <w:rFonts w:asciiTheme="majorHAnsi" w:hAnsiTheme="majorHAnsi" w:cs="Arial"/>
                <w:sz w:val="24"/>
                <w:szCs w:val="24"/>
              </w:rPr>
              <w:t xml:space="preserve"> ou heliporto</w:t>
            </w:r>
          </w:p>
        </w:tc>
      </w:tr>
      <w:tr w:rsidR="00186559" w:rsidTr="00186559">
        <w:tc>
          <w:tcPr>
            <w:tcW w:w="421" w:type="dxa"/>
          </w:tcPr>
          <w:p w:rsidR="00186559" w:rsidRDefault="00186559" w:rsidP="002516D9">
            <w:pPr>
              <w:jc w:val="both"/>
              <w:rPr>
                <w:rFonts w:asciiTheme="majorHAnsi" w:hAnsiTheme="majorHAnsi" w:cs="Arial"/>
                <w:sz w:val="24"/>
                <w:szCs w:val="24"/>
              </w:rPr>
            </w:pPr>
          </w:p>
        </w:tc>
        <w:tc>
          <w:tcPr>
            <w:tcW w:w="3685"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Instalações radioativas, nucleares, radiografia industrial ou congêneres</w:t>
            </w:r>
          </w:p>
        </w:tc>
        <w:tc>
          <w:tcPr>
            <w:tcW w:w="425" w:type="dxa"/>
          </w:tcPr>
          <w:p w:rsidR="00186559" w:rsidRDefault="00186559" w:rsidP="002516D9">
            <w:pPr>
              <w:jc w:val="both"/>
              <w:rPr>
                <w:rFonts w:asciiTheme="majorHAnsi" w:hAnsiTheme="majorHAnsi" w:cs="Arial"/>
                <w:sz w:val="24"/>
                <w:szCs w:val="24"/>
              </w:rPr>
            </w:pPr>
          </w:p>
        </w:tc>
        <w:tc>
          <w:tcPr>
            <w:tcW w:w="3963" w:type="dxa"/>
          </w:tcPr>
          <w:p w:rsidR="00186559" w:rsidRDefault="002516D9" w:rsidP="002516D9">
            <w:pPr>
              <w:jc w:val="both"/>
              <w:rPr>
                <w:rFonts w:asciiTheme="majorHAnsi" w:hAnsiTheme="majorHAnsi" w:cs="Arial"/>
                <w:sz w:val="24"/>
                <w:szCs w:val="24"/>
              </w:rPr>
            </w:pPr>
            <w:r>
              <w:rPr>
                <w:rFonts w:asciiTheme="majorHAnsi" w:hAnsiTheme="majorHAnsi" w:cs="Arial"/>
                <w:sz w:val="24"/>
                <w:szCs w:val="24"/>
              </w:rPr>
              <w:t>Outros (especificar):</w:t>
            </w:r>
          </w:p>
        </w:tc>
      </w:tr>
    </w:tbl>
    <w:p w:rsidR="00186559" w:rsidRDefault="00186559" w:rsidP="001968AC">
      <w:pPr>
        <w:spacing w:after="0" w:line="360" w:lineRule="auto"/>
        <w:jc w:val="both"/>
        <w:rPr>
          <w:rFonts w:asciiTheme="majorHAnsi" w:hAnsiTheme="majorHAnsi" w:cs="Arial"/>
          <w:sz w:val="24"/>
          <w:szCs w:val="24"/>
        </w:rPr>
      </w:pPr>
    </w:p>
    <w:p w:rsidR="00A358E1" w:rsidRDefault="00A358E1" w:rsidP="001968AC">
      <w:pPr>
        <w:spacing w:after="0" w:line="360" w:lineRule="auto"/>
        <w:jc w:val="both"/>
        <w:rPr>
          <w:rFonts w:asciiTheme="majorHAnsi" w:hAnsiTheme="majorHAnsi" w:cs="Arial"/>
          <w:sz w:val="24"/>
          <w:szCs w:val="24"/>
        </w:rPr>
      </w:pPr>
    </w:p>
    <w:p w:rsidR="00A358E1" w:rsidRPr="00A358E1" w:rsidRDefault="00A358E1" w:rsidP="00A358E1">
      <w:pPr>
        <w:spacing w:after="0" w:line="240" w:lineRule="auto"/>
        <w:jc w:val="both"/>
        <w:rPr>
          <w:rFonts w:asciiTheme="majorHAnsi" w:hAnsiTheme="majorHAnsi" w:cs="Arial"/>
          <w:b/>
          <w:sz w:val="24"/>
          <w:szCs w:val="24"/>
        </w:rPr>
      </w:pPr>
      <w:r w:rsidRPr="00A358E1">
        <w:rPr>
          <w:rFonts w:asciiTheme="majorHAnsi" w:hAnsiTheme="majorHAnsi" w:cs="Arial"/>
          <w:b/>
          <w:sz w:val="24"/>
          <w:szCs w:val="24"/>
        </w:rPr>
        <w:t>CLASSIFICAÇÃO DA EDIFICAÇÃO, INSTALAÇÕES E LOCAIS DE RISCO QUANTO À OCUPAÇÃO – CARGA DE INCÊNDIO</w:t>
      </w:r>
    </w:p>
    <w:p w:rsidR="00A358E1" w:rsidRDefault="00A358E1" w:rsidP="006B6159">
      <w:pPr>
        <w:spacing w:after="0" w:line="360" w:lineRule="auto"/>
        <w:jc w:val="both"/>
        <w:rPr>
          <w:rFonts w:asciiTheme="majorHAnsi" w:hAnsiTheme="majorHAnsi" w:cs="Arial"/>
          <w:sz w:val="24"/>
          <w:szCs w:val="24"/>
        </w:rPr>
      </w:pPr>
      <w:r w:rsidRPr="00A358E1">
        <w:rPr>
          <w:rFonts w:asciiTheme="majorHAnsi" w:hAnsiTheme="majorHAnsi" w:cs="Arial"/>
          <w:sz w:val="24"/>
          <w:szCs w:val="24"/>
        </w:rPr>
        <w:t>Considerando que a escola em questão caracteriza-se por um conjunto</w:t>
      </w:r>
      <w:r>
        <w:rPr>
          <w:rFonts w:asciiTheme="majorHAnsi" w:hAnsiTheme="majorHAnsi" w:cs="Arial"/>
          <w:sz w:val="24"/>
          <w:szCs w:val="24"/>
        </w:rPr>
        <w:t xml:space="preserve"> </w:t>
      </w:r>
      <w:r w:rsidRPr="00A358E1">
        <w:rPr>
          <w:rFonts w:asciiTheme="majorHAnsi" w:hAnsiTheme="majorHAnsi" w:cs="Arial"/>
          <w:sz w:val="24"/>
          <w:szCs w:val="24"/>
        </w:rPr>
        <w:t>de edificações</w:t>
      </w:r>
      <w:r>
        <w:rPr>
          <w:rFonts w:asciiTheme="majorHAnsi" w:hAnsiTheme="majorHAnsi" w:cs="Arial"/>
          <w:sz w:val="24"/>
          <w:szCs w:val="24"/>
        </w:rPr>
        <w:t xml:space="preserve"> distintas</w:t>
      </w:r>
      <w:r w:rsidRPr="00A358E1">
        <w:rPr>
          <w:rFonts w:asciiTheme="majorHAnsi" w:hAnsiTheme="majorHAnsi" w:cs="Arial"/>
          <w:sz w:val="24"/>
          <w:szCs w:val="24"/>
        </w:rPr>
        <w:t xml:space="preserve"> e não possui mais pavimentos além do térreo, nem</w:t>
      </w:r>
      <w:r>
        <w:rPr>
          <w:rFonts w:asciiTheme="majorHAnsi" w:hAnsiTheme="majorHAnsi" w:cs="Arial"/>
          <w:sz w:val="24"/>
          <w:szCs w:val="24"/>
        </w:rPr>
        <w:t xml:space="preserve"> </w:t>
      </w:r>
      <w:r w:rsidRPr="00A358E1">
        <w:rPr>
          <w:rFonts w:asciiTheme="majorHAnsi" w:hAnsiTheme="majorHAnsi" w:cs="Arial"/>
          <w:sz w:val="24"/>
          <w:szCs w:val="24"/>
        </w:rPr>
        <w:t>espaços de armazenamento de materiais combustíveis ou instalações fixas que</w:t>
      </w:r>
      <w:r>
        <w:rPr>
          <w:rFonts w:asciiTheme="majorHAnsi" w:hAnsiTheme="majorHAnsi" w:cs="Arial"/>
          <w:sz w:val="24"/>
          <w:szCs w:val="24"/>
        </w:rPr>
        <w:t xml:space="preserve"> </w:t>
      </w:r>
      <w:r w:rsidRPr="00A358E1">
        <w:rPr>
          <w:rFonts w:asciiTheme="majorHAnsi" w:hAnsiTheme="majorHAnsi" w:cs="Arial"/>
          <w:sz w:val="24"/>
          <w:szCs w:val="24"/>
        </w:rPr>
        <w:t>abriguem atividades com elevado risco de incêndio, a classificação dispensa o</w:t>
      </w:r>
      <w:r>
        <w:rPr>
          <w:rFonts w:asciiTheme="majorHAnsi" w:hAnsiTheme="majorHAnsi" w:cs="Arial"/>
          <w:sz w:val="24"/>
          <w:szCs w:val="24"/>
        </w:rPr>
        <w:t xml:space="preserve"> </w:t>
      </w:r>
      <w:r w:rsidRPr="00A358E1">
        <w:rPr>
          <w:rFonts w:asciiTheme="majorHAnsi" w:hAnsiTheme="majorHAnsi" w:cs="Arial"/>
          <w:sz w:val="24"/>
          <w:szCs w:val="24"/>
        </w:rPr>
        <w:t>cálculo da carga específica de incêndio e do isolamento de riscos e é</w:t>
      </w:r>
      <w:r>
        <w:rPr>
          <w:rFonts w:asciiTheme="majorHAnsi" w:hAnsiTheme="majorHAnsi" w:cs="Arial"/>
          <w:sz w:val="24"/>
          <w:szCs w:val="24"/>
        </w:rPr>
        <w:t xml:space="preserve"> </w:t>
      </w:r>
      <w:r w:rsidRPr="00A358E1">
        <w:rPr>
          <w:rFonts w:asciiTheme="majorHAnsi" w:hAnsiTheme="majorHAnsi" w:cs="Arial"/>
          <w:sz w:val="24"/>
          <w:szCs w:val="24"/>
        </w:rPr>
        <w:t xml:space="preserve">classificada, em conformidade com a NTCB 01 (Anexo H) como </w:t>
      </w:r>
      <w:r w:rsidRPr="00A358E1">
        <w:rPr>
          <w:rFonts w:asciiTheme="majorHAnsi" w:hAnsiTheme="majorHAnsi" w:cs="Arial"/>
          <w:sz w:val="24"/>
          <w:szCs w:val="24"/>
        </w:rPr>
        <w:lastRenderedPageBreak/>
        <w:t>edificação</w:t>
      </w:r>
      <w:r>
        <w:rPr>
          <w:rFonts w:asciiTheme="majorHAnsi" w:hAnsiTheme="majorHAnsi" w:cs="Arial"/>
          <w:sz w:val="24"/>
          <w:szCs w:val="24"/>
        </w:rPr>
        <w:t xml:space="preserve"> </w:t>
      </w:r>
      <w:r w:rsidRPr="00A358E1">
        <w:rPr>
          <w:rFonts w:asciiTheme="majorHAnsi" w:hAnsiTheme="majorHAnsi" w:cs="Arial"/>
          <w:sz w:val="24"/>
          <w:szCs w:val="24"/>
        </w:rPr>
        <w:t>pertencente ao Grupo E – Educacional e Cultura Física, na divisão E-1 –</w:t>
      </w:r>
      <w:r>
        <w:rPr>
          <w:rFonts w:asciiTheme="majorHAnsi" w:hAnsiTheme="majorHAnsi" w:cs="Arial"/>
          <w:sz w:val="24"/>
          <w:szCs w:val="24"/>
        </w:rPr>
        <w:t xml:space="preserve"> </w:t>
      </w:r>
      <w:r w:rsidRPr="00A358E1">
        <w:rPr>
          <w:rFonts w:asciiTheme="majorHAnsi" w:hAnsiTheme="majorHAnsi" w:cs="Arial"/>
          <w:sz w:val="24"/>
          <w:szCs w:val="24"/>
        </w:rPr>
        <w:t xml:space="preserve">Educação em geral. </w:t>
      </w:r>
      <w:r>
        <w:rPr>
          <w:rFonts w:asciiTheme="majorHAnsi" w:hAnsiTheme="majorHAnsi" w:cs="Arial"/>
          <w:sz w:val="24"/>
          <w:szCs w:val="24"/>
        </w:rPr>
        <w:t xml:space="preserve"> </w:t>
      </w:r>
      <w:r w:rsidRPr="00A358E1">
        <w:rPr>
          <w:rFonts w:asciiTheme="majorHAnsi" w:hAnsiTheme="majorHAnsi" w:cs="Arial"/>
          <w:sz w:val="24"/>
          <w:szCs w:val="24"/>
        </w:rPr>
        <w:t>Sua carga de incêndio</w:t>
      </w:r>
      <w:r>
        <w:rPr>
          <w:rFonts w:asciiTheme="majorHAnsi" w:hAnsiTheme="majorHAnsi" w:cs="Arial"/>
          <w:sz w:val="24"/>
          <w:szCs w:val="24"/>
        </w:rPr>
        <w:t xml:space="preserve"> </w:t>
      </w:r>
      <w:r w:rsidR="006B6159">
        <w:rPr>
          <w:rFonts w:asciiTheme="majorHAnsi" w:hAnsiTheme="majorHAnsi" w:cs="Arial"/>
          <w:sz w:val="24"/>
          <w:szCs w:val="24"/>
        </w:rPr>
        <w:t>é de risco baixo, c</w:t>
      </w:r>
      <w:r w:rsidR="006B6159" w:rsidRPr="006B6159">
        <w:rPr>
          <w:rFonts w:asciiTheme="majorHAnsi" w:hAnsiTheme="majorHAnsi" w:cs="Arial"/>
          <w:sz w:val="24"/>
          <w:szCs w:val="24"/>
        </w:rPr>
        <w:t>onsiderada uniformemente</w:t>
      </w:r>
      <w:r w:rsidR="006B6159">
        <w:rPr>
          <w:rFonts w:asciiTheme="majorHAnsi" w:hAnsiTheme="majorHAnsi" w:cs="Arial"/>
          <w:sz w:val="24"/>
          <w:szCs w:val="24"/>
        </w:rPr>
        <w:t xml:space="preserve"> </w:t>
      </w:r>
      <w:r w:rsidR="006B6159" w:rsidRPr="006B6159">
        <w:rPr>
          <w:rFonts w:asciiTheme="majorHAnsi" w:hAnsiTheme="majorHAnsi" w:cs="Arial"/>
          <w:sz w:val="24"/>
          <w:szCs w:val="24"/>
        </w:rPr>
        <w:t xml:space="preserve">distribuída </w:t>
      </w:r>
      <w:r w:rsidR="006B6159">
        <w:rPr>
          <w:rFonts w:asciiTheme="majorHAnsi" w:hAnsiTheme="majorHAnsi" w:cs="Arial"/>
          <w:sz w:val="24"/>
          <w:szCs w:val="24"/>
        </w:rPr>
        <w:t xml:space="preserve">em 300 (trezentos) MJ/m² e </w:t>
      </w:r>
      <w:r>
        <w:rPr>
          <w:rFonts w:asciiTheme="majorHAnsi" w:hAnsiTheme="majorHAnsi" w:cs="Arial"/>
          <w:sz w:val="24"/>
          <w:szCs w:val="24"/>
        </w:rPr>
        <w:t xml:space="preserve">está </w:t>
      </w:r>
      <w:r w:rsidR="006B6159">
        <w:rPr>
          <w:rFonts w:asciiTheme="majorHAnsi" w:hAnsiTheme="majorHAnsi" w:cs="Arial"/>
          <w:sz w:val="24"/>
          <w:szCs w:val="24"/>
        </w:rPr>
        <w:t>discriminada</w:t>
      </w:r>
      <w:r w:rsidRPr="00A358E1">
        <w:rPr>
          <w:rFonts w:asciiTheme="majorHAnsi" w:hAnsiTheme="majorHAnsi" w:cs="Arial"/>
          <w:sz w:val="24"/>
          <w:szCs w:val="24"/>
        </w:rPr>
        <w:t xml:space="preserve"> </w:t>
      </w:r>
      <w:r>
        <w:rPr>
          <w:rFonts w:asciiTheme="majorHAnsi" w:hAnsiTheme="majorHAnsi" w:cs="Arial"/>
          <w:sz w:val="24"/>
          <w:szCs w:val="24"/>
        </w:rPr>
        <w:t>conforme tabela a seguir</w:t>
      </w:r>
      <w:r w:rsidR="006B6159">
        <w:rPr>
          <w:rFonts w:asciiTheme="majorHAnsi" w:hAnsiTheme="majorHAnsi" w:cs="Arial"/>
          <w:sz w:val="24"/>
          <w:szCs w:val="24"/>
        </w:rPr>
        <w:t>, com o total</w:t>
      </w:r>
      <w:r>
        <w:rPr>
          <w:rFonts w:asciiTheme="majorHAnsi" w:hAnsiTheme="majorHAnsi" w:cs="Arial"/>
          <w:sz w:val="24"/>
          <w:szCs w:val="24"/>
        </w:rPr>
        <w:t xml:space="preserve"> </w:t>
      </w:r>
      <w:r w:rsidR="006B6159">
        <w:rPr>
          <w:rFonts w:asciiTheme="majorHAnsi" w:hAnsiTheme="majorHAnsi" w:cs="Arial"/>
          <w:sz w:val="24"/>
          <w:szCs w:val="24"/>
        </w:rPr>
        <w:t xml:space="preserve">de </w:t>
      </w:r>
      <w:r w:rsidRPr="00A358E1">
        <w:rPr>
          <w:rFonts w:asciiTheme="majorHAnsi" w:hAnsiTheme="majorHAnsi" w:cs="Arial"/>
          <w:sz w:val="24"/>
          <w:szCs w:val="24"/>
        </w:rPr>
        <w:t>1.1</w:t>
      </w:r>
      <w:r w:rsidR="006B6159">
        <w:rPr>
          <w:rFonts w:asciiTheme="majorHAnsi" w:hAnsiTheme="majorHAnsi" w:cs="Arial"/>
          <w:sz w:val="24"/>
          <w:szCs w:val="24"/>
        </w:rPr>
        <w:t>45</w:t>
      </w:r>
      <w:r w:rsidRPr="00A358E1">
        <w:rPr>
          <w:rFonts w:asciiTheme="majorHAnsi" w:hAnsiTheme="majorHAnsi" w:cs="Arial"/>
          <w:sz w:val="24"/>
          <w:szCs w:val="24"/>
        </w:rPr>
        <w:t>.</w:t>
      </w:r>
      <w:r w:rsidR="006B6159">
        <w:rPr>
          <w:rFonts w:asciiTheme="majorHAnsi" w:hAnsiTheme="majorHAnsi" w:cs="Arial"/>
          <w:sz w:val="24"/>
          <w:szCs w:val="24"/>
        </w:rPr>
        <w:t>820</w:t>
      </w:r>
      <w:r>
        <w:rPr>
          <w:rFonts w:asciiTheme="majorHAnsi" w:hAnsiTheme="majorHAnsi" w:cs="Arial"/>
          <w:sz w:val="24"/>
          <w:szCs w:val="24"/>
        </w:rPr>
        <w:t xml:space="preserve"> </w:t>
      </w:r>
      <w:r w:rsidRPr="00A358E1">
        <w:rPr>
          <w:rFonts w:asciiTheme="majorHAnsi" w:hAnsiTheme="majorHAnsi" w:cs="Arial"/>
          <w:sz w:val="24"/>
          <w:szCs w:val="24"/>
        </w:rPr>
        <w:t>MJ</w:t>
      </w:r>
      <w:r>
        <w:rPr>
          <w:rFonts w:asciiTheme="majorHAnsi" w:hAnsiTheme="majorHAnsi" w:cs="Arial"/>
          <w:sz w:val="24"/>
          <w:szCs w:val="24"/>
        </w:rPr>
        <w:t>.</w:t>
      </w:r>
    </w:p>
    <w:p w:rsidR="00A358E1" w:rsidRDefault="00A358E1" w:rsidP="00A358E1">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1696"/>
        <w:gridCol w:w="993"/>
        <w:gridCol w:w="708"/>
        <w:gridCol w:w="851"/>
        <w:gridCol w:w="850"/>
        <w:gridCol w:w="993"/>
        <w:gridCol w:w="992"/>
        <w:gridCol w:w="1411"/>
      </w:tblGrid>
      <w:tr w:rsidR="006B6159" w:rsidRPr="006B6159" w:rsidTr="006B6159">
        <w:tc>
          <w:tcPr>
            <w:tcW w:w="8494" w:type="dxa"/>
            <w:gridSpan w:val="8"/>
            <w:tcBorders>
              <w:bottom w:val="single" w:sz="4" w:space="0" w:color="auto"/>
            </w:tcBorders>
            <w:shd w:val="clear" w:color="auto" w:fill="BFBFBF" w:themeFill="background1" w:themeFillShade="BF"/>
          </w:tcPr>
          <w:p w:rsidR="006B6159" w:rsidRPr="006B6159" w:rsidRDefault="006B6159" w:rsidP="00A358E1">
            <w:pPr>
              <w:spacing w:line="360" w:lineRule="auto"/>
              <w:jc w:val="both"/>
              <w:rPr>
                <w:rFonts w:asciiTheme="majorHAnsi" w:hAnsiTheme="majorHAnsi" w:cs="Arial"/>
                <w:b/>
                <w:sz w:val="24"/>
                <w:szCs w:val="24"/>
              </w:rPr>
            </w:pPr>
            <w:r w:rsidRPr="006B6159">
              <w:rPr>
                <w:rFonts w:asciiTheme="majorHAnsi" w:hAnsiTheme="majorHAnsi" w:cs="Arial"/>
                <w:b/>
                <w:sz w:val="24"/>
                <w:szCs w:val="24"/>
              </w:rPr>
              <w:t>5.1.2 CARACTERÍSCAS DA EDIFICAÇÃ, INSTALAÇÃO OU LOCAL DE RISCO</w:t>
            </w:r>
          </w:p>
        </w:tc>
      </w:tr>
      <w:tr w:rsidR="007A593F" w:rsidRPr="006B6159" w:rsidTr="007A593F">
        <w:tc>
          <w:tcPr>
            <w:tcW w:w="1696"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Discriminação do pavimento/setor</w:t>
            </w:r>
          </w:p>
        </w:tc>
        <w:tc>
          <w:tcPr>
            <w:tcW w:w="993"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Ocupação</w:t>
            </w:r>
          </w:p>
        </w:tc>
        <w:tc>
          <w:tcPr>
            <w:tcW w:w="708"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Risco</w:t>
            </w:r>
          </w:p>
        </w:tc>
        <w:tc>
          <w:tcPr>
            <w:tcW w:w="851"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Nº de pisos</w:t>
            </w:r>
          </w:p>
        </w:tc>
        <w:tc>
          <w:tcPr>
            <w:tcW w:w="850"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Pé Direito</w:t>
            </w:r>
          </w:p>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(m)</w:t>
            </w:r>
          </w:p>
        </w:tc>
        <w:tc>
          <w:tcPr>
            <w:tcW w:w="993"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Área (m²)</w:t>
            </w:r>
          </w:p>
        </w:tc>
        <w:tc>
          <w:tcPr>
            <w:tcW w:w="992"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Carga de incêndio (MJ/m²)</w:t>
            </w:r>
          </w:p>
        </w:tc>
        <w:tc>
          <w:tcPr>
            <w:tcW w:w="1411" w:type="dxa"/>
            <w:shd w:val="clear" w:color="auto" w:fill="BFBFBF" w:themeFill="background1" w:themeFillShade="BF"/>
            <w:vAlign w:val="center"/>
          </w:tcPr>
          <w:p w:rsidR="006B6159" w:rsidRPr="006B6159" w:rsidRDefault="006B6159" w:rsidP="006B6159">
            <w:pPr>
              <w:jc w:val="center"/>
              <w:rPr>
                <w:rFonts w:asciiTheme="majorHAnsi" w:hAnsiTheme="majorHAnsi" w:cs="Arial"/>
                <w:b/>
                <w:sz w:val="18"/>
                <w:szCs w:val="18"/>
              </w:rPr>
            </w:pPr>
            <w:r w:rsidRPr="006B6159">
              <w:rPr>
                <w:rFonts w:asciiTheme="majorHAnsi" w:hAnsiTheme="majorHAnsi" w:cs="Arial"/>
                <w:b/>
                <w:sz w:val="18"/>
                <w:szCs w:val="18"/>
              </w:rPr>
              <w:t>Carga de Incêndio Total (área x Carga de Incêndio)</w:t>
            </w:r>
          </w:p>
        </w:tc>
      </w:tr>
      <w:tr w:rsidR="006B6159" w:rsidRPr="006B6159" w:rsidTr="007A593F">
        <w:tc>
          <w:tcPr>
            <w:tcW w:w="1696" w:type="dxa"/>
          </w:tcPr>
          <w:p w:rsidR="00A358E1" w:rsidRPr="006B6159" w:rsidRDefault="00A358E1" w:rsidP="006B6159">
            <w:pPr>
              <w:jc w:val="both"/>
              <w:rPr>
                <w:rFonts w:asciiTheme="majorHAnsi" w:hAnsiTheme="majorHAnsi" w:cs="Arial"/>
                <w:sz w:val="20"/>
                <w:szCs w:val="20"/>
              </w:rPr>
            </w:pPr>
            <w:r w:rsidRPr="006B6159">
              <w:rPr>
                <w:rFonts w:asciiTheme="majorHAnsi" w:hAnsiTheme="majorHAnsi" w:cs="Arial"/>
                <w:sz w:val="20"/>
                <w:szCs w:val="20"/>
              </w:rPr>
              <w:t xml:space="preserve">Bloco </w:t>
            </w:r>
            <w:r w:rsidR="006B6159" w:rsidRPr="006B6159">
              <w:rPr>
                <w:rFonts w:asciiTheme="majorHAnsi" w:hAnsiTheme="majorHAnsi" w:cs="Arial"/>
                <w:sz w:val="20"/>
                <w:szCs w:val="20"/>
              </w:rPr>
              <w:t>Educacional</w:t>
            </w:r>
          </w:p>
        </w:tc>
        <w:tc>
          <w:tcPr>
            <w:tcW w:w="993"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E-1</w:t>
            </w:r>
          </w:p>
        </w:tc>
        <w:tc>
          <w:tcPr>
            <w:tcW w:w="708"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Baixo</w:t>
            </w:r>
          </w:p>
        </w:tc>
        <w:tc>
          <w:tcPr>
            <w:tcW w:w="851"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1</w:t>
            </w:r>
          </w:p>
        </w:tc>
        <w:tc>
          <w:tcPr>
            <w:tcW w:w="850"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2,80</w:t>
            </w:r>
          </w:p>
        </w:tc>
        <w:tc>
          <w:tcPr>
            <w:tcW w:w="993"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2.745,59</w:t>
            </w:r>
          </w:p>
        </w:tc>
        <w:tc>
          <w:tcPr>
            <w:tcW w:w="992"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300</w:t>
            </w:r>
          </w:p>
        </w:tc>
        <w:tc>
          <w:tcPr>
            <w:tcW w:w="1411"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712.732</w:t>
            </w:r>
          </w:p>
        </w:tc>
      </w:tr>
      <w:tr w:rsidR="006B6159" w:rsidRPr="006B6159" w:rsidTr="007A593F">
        <w:tc>
          <w:tcPr>
            <w:tcW w:w="1696" w:type="dxa"/>
          </w:tcPr>
          <w:p w:rsidR="00A358E1" w:rsidRPr="006B6159" w:rsidRDefault="006B6159" w:rsidP="006B6159">
            <w:pPr>
              <w:jc w:val="both"/>
              <w:rPr>
                <w:rFonts w:asciiTheme="majorHAnsi" w:hAnsiTheme="majorHAnsi" w:cs="Arial"/>
                <w:sz w:val="20"/>
                <w:szCs w:val="20"/>
              </w:rPr>
            </w:pPr>
            <w:r>
              <w:rPr>
                <w:rFonts w:asciiTheme="majorHAnsi" w:hAnsiTheme="majorHAnsi" w:cs="Arial"/>
                <w:sz w:val="20"/>
                <w:szCs w:val="20"/>
              </w:rPr>
              <w:t>Refeitório</w:t>
            </w:r>
          </w:p>
        </w:tc>
        <w:tc>
          <w:tcPr>
            <w:tcW w:w="993"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F-8</w:t>
            </w:r>
          </w:p>
        </w:tc>
        <w:tc>
          <w:tcPr>
            <w:tcW w:w="708"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Baixo</w:t>
            </w:r>
          </w:p>
        </w:tc>
        <w:tc>
          <w:tcPr>
            <w:tcW w:w="851"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1</w:t>
            </w:r>
          </w:p>
        </w:tc>
        <w:tc>
          <w:tcPr>
            <w:tcW w:w="850"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3,20</w:t>
            </w:r>
          </w:p>
        </w:tc>
        <w:tc>
          <w:tcPr>
            <w:tcW w:w="993"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343,65</w:t>
            </w:r>
          </w:p>
        </w:tc>
        <w:tc>
          <w:tcPr>
            <w:tcW w:w="992"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300</w:t>
            </w:r>
          </w:p>
        </w:tc>
        <w:tc>
          <w:tcPr>
            <w:tcW w:w="1411"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132.327</w:t>
            </w:r>
          </w:p>
        </w:tc>
      </w:tr>
      <w:tr w:rsidR="006B6159" w:rsidRPr="006B6159" w:rsidTr="007A593F">
        <w:tc>
          <w:tcPr>
            <w:tcW w:w="1696" w:type="dxa"/>
          </w:tcPr>
          <w:p w:rsidR="00A358E1" w:rsidRPr="006B6159" w:rsidRDefault="006B6159" w:rsidP="006B6159">
            <w:pPr>
              <w:jc w:val="both"/>
              <w:rPr>
                <w:rFonts w:asciiTheme="majorHAnsi" w:hAnsiTheme="majorHAnsi" w:cs="Arial"/>
                <w:sz w:val="20"/>
                <w:szCs w:val="20"/>
              </w:rPr>
            </w:pPr>
            <w:r>
              <w:rPr>
                <w:rFonts w:asciiTheme="majorHAnsi" w:hAnsiTheme="majorHAnsi" w:cs="Arial"/>
                <w:sz w:val="20"/>
                <w:szCs w:val="20"/>
              </w:rPr>
              <w:t>Quadra Poliesportiva</w:t>
            </w:r>
          </w:p>
        </w:tc>
        <w:tc>
          <w:tcPr>
            <w:tcW w:w="993"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F-3</w:t>
            </w:r>
          </w:p>
        </w:tc>
        <w:tc>
          <w:tcPr>
            <w:tcW w:w="708"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Baixo</w:t>
            </w:r>
          </w:p>
        </w:tc>
        <w:tc>
          <w:tcPr>
            <w:tcW w:w="851"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1</w:t>
            </w:r>
          </w:p>
        </w:tc>
        <w:tc>
          <w:tcPr>
            <w:tcW w:w="850"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9,45</w:t>
            </w:r>
          </w:p>
        </w:tc>
        <w:tc>
          <w:tcPr>
            <w:tcW w:w="993"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679,06</w:t>
            </w:r>
          </w:p>
        </w:tc>
        <w:tc>
          <w:tcPr>
            <w:tcW w:w="992" w:type="dxa"/>
          </w:tcPr>
          <w:p w:rsidR="00A358E1" w:rsidRPr="006B6159" w:rsidRDefault="007A593F" w:rsidP="006B6159">
            <w:pPr>
              <w:jc w:val="center"/>
              <w:rPr>
                <w:rFonts w:asciiTheme="majorHAnsi" w:hAnsiTheme="majorHAnsi" w:cs="Arial"/>
                <w:sz w:val="20"/>
                <w:szCs w:val="20"/>
              </w:rPr>
            </w:pPr>
            <w:r>
              <w:rPr>
                <w:rFonts w:asciiTheme="majorHAnsi" w:hAnsiTheme="majorHAnsi" w:cs="Arial"/>
                <w:sz w:val="20"/>
                <w:szCs w:val="20"/>
              </w:rPr>
              <w:t>150</w:t>
            </w:r>
          </w:p>
        </w:tc>
        <w:tc>
          <w:tcPr>
            <w:tcW w:w="1411" w:type="dxa"/>
          </w:tcPr>
          <w:p w:rsidR="00A358E1" w:rsidRPr="006B6159" w:rsidRDefault="006B6159" w:rsidP="006B6159">
            <w:pPr>
              <w:jc w:val="center"/>
              <w:rPr>
                <w:rFonts w:asciiTheme="majorHAnsi" w:hAnsiTheme="majorHAnsi" w:cs="Arial"/>
                <w:sz w:val="20"/>
                <w:szCs w:val="20"/>
              </w:rPr>
            </w:pPr>
            <w:r>
              <w:rPr>
                <w:rFonts w:asciiTheme="majorHAnsi" w:hAnsiTheme="majorHAnsi" w:cs="Arial"/>
                <w:sz w:val="20"/>
                <w:szCs w:val="20"/>
              </w:rPr>
              <w:t>125.261</w:t>
            </w:r>
          </w:p>
        </w:tc>
      </w:tr>
      <w:tr w:rsidR="006B6159" w:rsidRPr="006B6159" w:rsidTr="007A593F">
        <w:tc>
          <w:tcPr>
            <w:tcW w:w="1696" w:type="dxa"/>
          </w:tcPr>
          <w:p w:rsidR="006B6159" w:rsidRDefault="006B6159" w:rsidP="006B6159">
            <w:pPr>
              <w:jc w:val="both"/>
              <w:rPr>
                <w:rFonts w:asciiTheme="majorHAnsi" w:hAnsiTheme="majorHAnsi" w:cs="Arial"/>
                <w:sz w:val="20"/>
                <w:szCs w:val="20"/>
              </w:rPr>
            </w:pPr>
            <w:r>
              <w:rPr>
                <w:rFonts w:asciiTheme="majorHAnsi" w:hAnsiTheme="majorHAnsi" w:cs="Arial"/>
                <w:sz w:val="20"/>
                <w:szCs w:val="20"/>
              </w:rPr>
              <w:t>Vestiários</w:t>
            </w:r>
          </w:p>
        </w:tc>
        <w:tc>
          <w:tcPr>
            <w:tcW w:w="993"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w:t>
            </w:r>
          </w:p>
        </w:tc>
        <w:tc>
          <w:tcPr>
            <w:tcW w:w="708"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w:t>
            </w:r>
          </w:p>
        </w:tc>
        <w:tc>
          <w:tcPr>
            <w:tcW w:w="851"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1</w:t>
            </w:r>
          </w:p>
        </w:tc>
        <w:tc>
          <w:tcPr>
            <w:tcW w:w="850"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3,10</w:t>
            </w:r>
          </w:p>
        </w:tc>
        <w:tc>
          <w:tcPr>
            <w:tcW w:w="993"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105,59</w:t>
            </w:r>
          </w:p>
        </w:tc>
        <w:tc>
          <w:tcPr>
            <w:tcW w:w="992"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w:t>
            </w:r>
          </w:p>
        </w:tc>
        <w:tc>
          <w:tcPr>
            <w:tcW w:w="1411"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w:t>
            </w:r>
          </w:p>
        </w:tc>
      </w:tr>
      <w:tr w:rsidR="006B6159" w:rsidRPr="006B6159" w:rsidTr="007A593F">
        <w:tc>
          <w:tcPr>
            <w:tcW w:w="1696" w:type="dxa"/>
          </w:tcPr>
          <w:p w:rsidR="006B6159" w:rsidRDefault="006B6159" w:rsidP="006B6159">
            <w:pPr>
              <w:jc w:val="both"/>
              <w:rPr>
                <w:rFonts w:asciiTheme="majorHAnsi" w:hAnsiTheme="majorHAnsi" w:cs="Arial"/>
                <w:sz w:val="20"/>
                <w:szCs w:val="20"/>
              </w:rPr>
            </w:pPr>
            <w:r>
              <w:rPr>
                <w:rFonts w:asciiTheme="majorHAnsi" w:hAnsiTheme="majorHAnsi" w:cs="Arial"/>
                <w:sz w:val="20"/>
                <w:szCs w:val="20"/>
              </w:rPr>
              <w:t>Arquibancada Futebol</w:t>
            </w:r>
          </w:p>
        </w:tc>
        <w:tc>
          <w:tcPr>
            <w:tcW w:w="993" w:type="dxa"/>
          </w:tcPr>
          <w:p w:rsidR="006B6159" w:rsidRPr="006B6159" w:rsidRDefault="006B6159" w:rsidP="006B6159">
            <w:pPr>
              <w:jc w:val="center"/>
              <w:rPr>
                <w:rFonts w:asciiTheme="majorHAnsi" w:hAnsiTheme="majorHAnsi" w:cs="Arial"/>
                <w:sz w:val="20"/>
                <w:szCs w:val="20"/>
              </w:rPr>
            </w:pPr>
          </w:p>
        </w:tc>
        <w:tc>
          <w:tcPr>
            <w:tcW w:w="708"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Baixo</w:t>
            </w:r>
          </w:p>
        </w:tc>
        <w:tc>
          <w:tcPr>
            <w:tcW w:w="851"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1</w:t>
            </w:r>
          </w:p>
        </w:tc>
        <w:tc>
          <w:tcPr>
            <w:tcW w:w="850"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w:t>
            </w:r>
          </w:p>
        </w:tc>
        <w:tc>
          <w:tcPr>
            <w:tcW w:w="993"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1.145,00</w:t>
            </w:r>
          </w:p>
        </w:tc>
        <w:tc>
          <w:tcPr>
            <w:tcW w:w="992" w:type="dxa"/>
          </w:tcPr>
          <w:p w:rsidR="006B6159" w:rsidRPr="006B6159" w:rsidRDefault="007A593F" w:rsidP="006B6159">
            <w:pPr>
              <w:jc w:val="center"/>
              <w:rPr>
                <w:rFonts w:asciiTheme="majorHAnsi" w:hAnsiTheme="majorHAnsi" w:cs="Arial"/>
                <w:sz w:val="20"/>
                <w:szCs w:val="20"/>
              </w:rPr>
            </w:pPr>
            <w:r>
              <w:rPr>
                <w:rFonts w:asciiTheme="majorHAnsi" w:hAnsiTheme="majorHAnsi" w:cs="Arial"/>
                <w:sz w:val="20"/>
                <w:szCs w:val="20"/>
              </w:rPr>
              <w:t>150</w:t>
            </w:r>
          </w:p>
        </w:tc>
        <w:tc>
          <w:tcPr>
            <w:tcW w:w="1411" w:type="dxa"/>
          </w:tcPr>
          <w:p w:rsidR="006B6159" w:rsidRPr="006B6159" w:rsidRDefault="006B6159" w:rsidP="006B6159">
            <w:pPr>
              <w:jc w:val="center"/>
              <w:rPr>
                <w:rFonts w:asciiTheme="majorHAnsi" w:hAnsiTheme="majorHAnsi" w:cs="Arial"/>
                <w:sz w:val="20"/>
                <w:szCs w:val="20"/>
              </w:rPr>
            </w:pPr>
            <w:r>
              <w:rPr>
                <w:rFonts w:asciiTheme="majorHAnsi" w:hAnsiTheme="majorHAnsi" w:cs="Arial"/>
                <w:sz w:val="20"/>
                <w:szCs w:val="20"/>
              </w:rPr>
              <w:t>175.500</w:t>
            </w:r>
          </w:p>
        </w:tc>
      </w:tr>
    </w:tbl>
    <w:p w:rsidR="00A358E1" w:rsidRDefault="00A358E1" w:rsidP="00A358E1">
      <w:pPr>
        <w:spacing w:after="0" w:line="360" w:lineRule="auto"/>
        <w:jc w:val="both"/>
        <w:rPr>
          <w:rFonts w:asciiTheme="majorHAnsi" w:hAnsiTheme="majorHAnsi" w:cs="Arial"/>
          <w:sz w:val="24"/>
          <w:szCs w:val="24"/>
        </w:rPr>
      </w:pPr>
    </w:p>
    <w:p w:rsidR="00FB405B" w:rsidRDefault="00FB405B" w:rsidP="00FB405B">
      <w:pPr>
        <w:spacing w:after="0" w:line="240" w:lineRule="auto"/>
        <w:jc w:val="both"/>
        <w:rPr>
          <w:rFonts w:asciiTheme="majorHAnsi" w:hAnsiTheme="majorHAnsi" w:cs="Arial"/>
          <w:b/>
          <w:sz w:val="24"/>
          <w:szCs w:val="24"/>
        </w:rPr>
      </w:pPr>
      <w:r w:rsidRPr="00FB405B">
        <w:rPr>
          <w:rFonts w:asciiTheme="majorHAnsi" w:hAnsiTheme="majorHAnsi" w:cs="Arial"/>
          <w:b/>
          <w:sz w:val="24"/>
          <w:szCs w:val="24"/>
        </w:rPr>
        <w:t>ACESSO DE VIATURAS</w:t>
      </w:r>
    </w:p>
    <w:p w:rsidR="00FB405B" w:rsidRDefault="00FB405B" w:rsidP="00FB405B">
      <w:pPr>
        <w:spacing w:after="0" w:line="360" w:lineRule="auto"/>
        <w:jc w:val="both"/>
        <w:rPr>
          <w:rFonts w:asciiTheme="majorHAnsi" w:hAnsiTheme="majorHAnsi" w:cs="Arial"/>
          <w:sz w:val="24"/>
          <w:szCs w:val="24"/>
        </w:rPr>
      </w:pPr>
      <w:r w:rsidRPr="00FB405B">
        <w:rPr>
          <w:rFonts w:asciiTheme="majorHAnsi" w:hAnsiTheme="majorHAnsi" w:cs="Arial"/>
          <w:sz w:val="24"/>
          <w:szCs w:val="24"/>
        </w:rPr>
        <w:t>A edificação possui condições mínimas para o acesso de viaturas de bombeiros nas edificações e áreas de risco, visando o emprego operacional do Corpo de Bombeiros de Mato Grosso. As vias devem suportar viaturas com peso de 25.000 Kgf</w:t>
      </w:r>
    </w:p>
    <w:p w:rsidR="006A3B40" w:rsidRDefault="006A3B40" w:rsidP="00FB405B">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4247"/>
        <w:gridCol w:w="4247"/>
      </w:tblGrid>
      <w:tr w:rsidR="006A3B40" w:rsidTr="006A3B40">
        <w:tc>
          <w:tcPr>
            <w:tcW w:w="8494" w:type="dxa"/>
            <w:gridSpan w:val="2"/>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sidRPr="006A3B40">
              <w:rPr>
                <w:rFonts w:asciiTheme="majorHAnsi" w:hAnsiTheme="majorHAnsi" w:cs="Arial"/>
                <w:b/>
                <w:sz w:val="20"/>
                <w:szCs w:val="20"/>
              </w:rPr>
              <w:t>PORTÃO DE ACESSO</w:t>
            </w:r>
          </w:p>
        </w:tc>
      </w:tr>
      <w:tr w:rsidR="006A3B40" w:rsidTr="006A3B40">
        <w:tc>
          <w:tcPr>
            <w:tcW w:w="4247" w:type="dxa"/>
            <w:shd w:val="clear" w:color="auto" w:fill="BFBFBF" w:themeFill="background1" w:themeFillShade="BF"/>
          </w:tcPr>
          <w:p w:rsidR="006A3B40" w:rsidRDefault="006A3B40" w:rsidP="00FB405B">
            <w:pPr>
              <w:spacing w:line="360" w:lineRule="auto"/>
              <w:jc w:val="both"/>
              <w:rPr>
                <w:rFonts w:asciiTheme="majorHAnsi" w:hAnsiTheme="majorHAnsi" w:cs="Arial"/>
                <w:sz w:val="24"/>
                <w:szCs w:val="24"/>
              </w:rPr>
            </w:pPr>
            <w:r w:rsidRPr="006A3B40">
              <w:rPr>
                <w:rFonts w:asciiTheme="majorHAnsi" w:hAnsiTheme="majorHAnsi" w:cs="Arial"/>
                <w:sz w:val="24"/>
                <w:szCs w:val="24"/>
              </w:rPr>
              <w:t>Largura da entrada principal</w:t>
            </w:r>
            <w:r>
              <w:rPr>
                <w:rFonts w:asciiTheme="majorHAnsi" w:hAnsiTheme="majorHAnsi" w:cs="Arial"/>
                <w:sz w:val="24"/>
                <w:szCs w:val="24"/>
              </w:rPr>
              <w:t>:</w:t>
            </w:r>
          </w:p>
        </w:tc>
        <w:tc>
          <w:tcPr>
            <w:tcW w:w="4247" w:type="dxa"/>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6 metros</w:t>
            </w:r>
          </w:p>
        </w:tc>
      </w:tr>
      <w:tr w:rsidR="006A3B40" w:rsidTr="006A3B40">
        <w:tc>
          <w:tcPr>
            <w:tcW w:w="4247" w:type="dxa"/>
            <w:tcBorders>
              <w:bottom w:val="single" w:sz="4" w:space="0" w:color="auto"/>
            </w:tcBorders>
            <w:shd w:val="clear" w:color="auto" w:fill="BFBFBF" w:themeFill="background1" w:themeFillShade="BF"/>
          </w:tcPr>
          <w:p w:rsidR="006A3B40" w:rsidRDefault="006A3B40" w:rsidP="00FB405B">
            <w:pPr>
              <w:spacing w:line="360" w:lineRule="auto"/>
              <w:jc w:val="both"/>
              <w:rPr>
                <w:rFonts w:asciiTheme="majorHAnsi" w:hAnsiTheme="majorHAnsi" w:cs="Arial"/>
                <w:sz w:val="24"/>
                <w:szCs w:val="24"/>
              </w:rPr>
            </w:pPr>
            <w:r w:rsidRPr="006A3B40">
              <w:rPr>
                <w:rFonts w:asciiTheme="majorHAnsi" w:hAnsiTheme="majorHAnsi" w:cs="Arial"/>
                <w:sz w:val="24"/>
                <w:szCs w:val="24"/>
              </w:rPr>
              <w:t>Altura da entrada principal:</w:t>
            </w:r>
          </w:p>
        </w:tc>
        <w:tc>
          <w:tcPr>
            <w:tcW w:w="4247" w:type="dxa"/>
            <w:tcBorders>
              <w:bottom w:val="single" w:sz="4" w:space="0" w:color="auto"/>
            </w:tcBorders>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Vão Livre</w:t>
            </w:r>
          </w:p>
        </w:tc>
      </w:tr>
      <w:tr w:rsidR="006A3B40" w:rsidRPr="006A3B40" w:rsidTr="006A3B40">
        <w:tc>
          <w:tcPr>
            <w:tcW w:w="8494" w:type="dxa"/>
            <w:gridSpan w:val="2"/>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sidRPr="006A3B40">
              <w:rPr>
                <w:rFonts w:asciiTheme="majorHAnsi" w:hAnsiTheme="majorHAnsi" w:cs="Arial"/>
                <w:b/>
                <w:sz w:val="20"/>
                <w:szCs w:val="20"/>
              </w:rPr>
              <w:t>VIA INTERNA</w:t>
            </w:r>
          </w:p>
        </w:tc>
      </w:tr>
      <w:tr w:rsidR="006A3B40" w:rsidTr="006A3B40">
        <w:tc>
          <w:tcPr>
            <w:tcW w:w="4247" w:type="dxa"/>
            <w:shd w:val="clear" w:color="auto" w:fill="BFBFBF" w:themeFill="background1" w:themeFillShade="BF"/>
          </w:tcPr>
          <w:p w:rsidR="006A3B40" w:rsidRP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Largura da via interna:</w:t>
            </w:r>
          </w:p>
        </w:tc>
        <w:tc>
          <w:tcPr>
            <w:tcW w:w="4247" w:type="dxa"/>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No mínimo 6 metros</w:t>
            </w:r>
          </w:p>
        </w:tc>
      </w:tr>
    </w:tbl>
    <w:p w:rsidR="006A3B40" w:rsidRPr="00D842BF" w:rsidRDefault="006A3B40" w:rsidP="00FB405B">
      <w:pPr>
        <w:spacing w:after="0" w:line="360" w:lineRule="auto"/>
        <w:jc w:val="both"/>
        <w:rPr>
          <w:rFonts w:asciiTheme="majorHAnsi" w:hAnsiTheme="majorHAnsi" w:cstheme="majorHAnsi"/>
          <w:sz w:val="24"/>
          <w:szCs w:val="24"/>
        </w:rPr>
      </w:pPr>
    </w:p>
    <w:p w:rsidR="00FB405B" w:rsidRPr="00D842BF" w:rsidRDefault="00FB405B" w:rsidP="00FB405B">
      <w:pPr>
        <w:spacing w:after="0" w:line="360" w:lineRule="auto"/>
        <w:jc w:val="both"/>
        <w:rPr>
          <w:rFonts w:asciiTheme="majorHAnsi" w:hAnsiTheme="majorHAnsi" w:cstheme="majorHAnsi"/>
          <w:sz w:val="24"/>
          <w:szCs w:val="24"/>
        </w:rPr>
      </w:pPr>
    </w:p>
    <w:p w:rsidR="00FB405B" w:rsidRPr="00D842BF" w:rsidRDefault="00FB405B" w:rsidP="00FB405B">
      <w:pPr>
        <w:spacing w:after="0" w:line="240" w:lineRule="auto"/>
        <w:jc w:val="both"/>
        <w:rPr>
          <w:rFonts w:asciiTheme="majorHAnsi" w:hAnsiTheme="majorHAnsi" w:cstheme="majorHAnsi"/>
          <w:b/>
          <w:sz w:val="24"/>
          <w:szCs w:val="24"/>
        </w:rPr>
      </w:pPr>
      <w:r w:rsidRPr="00D842BF">
        <w:rPr>
          <w:rFonts w:asciiTheme="majorHAnsi" w:hAnsiTheme="majorHAnsi" w:cstheme="majorHAnsi"/>
          <w:b/>
          <w:sz w:val="24"/>
          <w:szCs w:val="24"/>
        </w:rPr>
        <w:t>RESISTÊNCIA AO FOGO DOS ELEMENTOS DE CONSTRUÇÃO</w:t>
      </w:r>
    </w:p>
    <w:p w:rsidR="00FB405B" w:rsidRPr="00D842BF" w:rsidRDefault="00FB405B"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A edificação deve ser construída e possuir elementos estruturais e de compartimentação com características de resistência e atendimento aos Tempos Requeridos de Resistência ao Fogo (TRRF), para que, em situação de incêndio, seja evitado o colapso estrutural por tempo suficiente para possibilitar a saída segura das pessoas e o acesso para as operações do Corpo de Bombeiros, conforme NBR 5628 - ABNT - Componentes construtivos estruturais - Determinação da resistência ao fogo.</w:t>
      </w:r>
    </w:p>
    <w:p w:rsidR="00FB405B" w:rsidRDefault="00FB405B" w:rsidP="00FB405B">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2547"/>
        <w:gridCol w:w="1984"/>
        <w:gridCol w:w="709"/>
        <w:gridCol w:w="1418"/>
        <w:gridCol w:w="1836"/>
      </w:tblGrid>
      <w:tr w:rsidR="006A3B40" w:rsidTr="006A3B40">
        <w:tc>
          <w:tcPr>
            <w:tcW w:w="8494" w:type="dxa"/>
            <w:gridSpan w:val="5"/>
            <w:shd w:val="clear" w:color="auto" w:fill="D9D9D9" w:themeFill="background1" w:themeFillShade="D9"/>
          </w:tcPr>
          <w:p w:rsidR="006A3B40" w:rsidRPr="006A3B40" w:rsidRDefault="006A3B40" w:rsidP="006A3B40">
            <w:pPr>
              <w:spacing w:line="360" w:lineRule="auto"/>
              <w:jc w:val="center"/>
              <w:rPr>
                <w:rFonts w:asciiTheme="majorHAnsi" w:hAnsiTheme="majorHAnsi" w:cs="Arial"/>
                <w:b/>
                <w:sz w:val="20"/>
                <w:szCs w:val="20"/>
              </w:rPr>
            </w:pPr>
            <w:r w:rsidRPr="006A3B40">
              <w:rPr>
                <w:rFonts w:asciiTheme="majorHAnsi" w:hAnsiTheme="majorHAnsi" w:cs="Arial"/>
                <w:b/>
                <w:sz w:val="20"/>
                <w:szCs w:val="20"/>
              </w:rPr>
              <w:t>CLASSIFICAÇAO QUANTO AO TRRF</w:t>
            </w:r>
          </w:p>
        </w:tc>
      </w:tr>
      <w:tr w:rsidR="006A3B40" w:rsidTr="006A3B40">
        <w:tc>
          <w:tcPr>
            <w:tcW w:w="2547" w:type="dxa"/>
            <w:shd w:val="clear" w:color="auto" w:fill="BFBFBF" w:themeFill="background1" w:themeFillShade="BF"/>
          </w:tcPr>
          <w:p w:rsidR="006A3B40" w:rsidRPr="00676EB4" w:rsidRDefault="006A3B40" w:rsidP="006A3B40">
            <w:r w:rsidRPr="00676EB4">
              <w:t>Ocupação / Uso</w:t>
            </w:r>
          </w:p>
        </w:tc>
        <w:tc>
          <w:tcPr>
            <w:tcW w:w="1984" w:type="dxa"/>
          </w:tcPr>
          <w:p w:rsidR="006A3B40" w:rsidRPr="00676EB4" w:rsidRDefault="006A3B40" w:rsidP="006A3B40">
            <w:r>
              <w:t>Serviço de saúde e institucional</w:t>
            </w:r>
          </w:p>
        </w:tc>
        <w:tc>
          <w:tcPr>
            <w:tcW w:w="2127" w:type="dxa"/>
            <w:gridSpan w:val="2"/>
            <w:shd w:val="clear" w:color="auto" w:fill="BFBFBF" w:themeFill="background1" w:themeFillShade="BF"/>
          </w:tcPr>
          <w:p w:rsidR="006A3B40" w:rsidRPr="00676EB4" w:rsidRDefault="006A3B40" w:rsidP="006A3B40">
            <w:r>
              <w:t>Divisão</w:t>
            </w:r>
          </w:p>
        </w:tc>
        <w:tc>
          <w:tcPr>
            <w:tcW w:w="1836" w:type="dxa"/>
          </w:tcPr>
          <w:p w:rsidR="006A3B40" w:rsidRPr="00676EB4" w:rsidRDefault="006A3B40" w:rsidP="006A3B40">
            <w:pPr>
              <w:jc w:val="center"/>
            </w:pPr>
            <w:r>
              <w:t>E-6</w:t>
            </w:r>
          </w:p>
        </w:tc>
      </w:tr>
      <w:tr w:rsidR="006A3B40" w:rsidTr="006A3B40">
        <w:tc>
          <w:tcPr>
            <w:tcW w:w="2547" w:type="dxa"/>
            <w:shd w:val="clear" w:color="auto" w:fill="BFBFBF" w:themeFill="background1" w:themeFillShade="BF"/>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Altura da Edificação (h)</w:t>
            </w:r>
          </w:p>
        </w:tc>
        <w:tc>
          <w:tcPr>
            <w:tcW w:w="1984" w:type="dxa"/>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Térreo</w:t>
            </w:r>
          </w:p>
        </w:tc>
        <w:tc>
          <w:tcPr>
            <w:tcW w:w="2127" w:type="dxa"/>
            <w:gridSpan w:val="2"/>
            <w:shd w:val="clear" w:color="auto" w:fill="BFBFBF" w:themeFill="background1" w:themeFillShade="BF"/>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Classe de altura</w:t>
            </w:r>
          </w:p>
        </w:tc>
        <w:tc>
          <w:tcPr>
            <w:tcW w:w="1836" w:type="dxa"/>
          </w:tcPr>
          <w:p w:rsidR="006A3B40" w:rsidRDefault="006A3B40" w:rsidP="006A3B40">
            <w:pPr>
              <w:spacing w:line="360" w:lineRule="auto"/>
              <w:jc w:val="center"/>
              <w:rPr>
                <w:rFonts w:asciiTheme="majorHAnsi" w:hAnsiTheme="majorHAnsi" w:cs="Arial"/>
                <w:sz w:val="24"/>
                <w:szCs w:val="24"/>
              </w:rPr>
            </w:pPr>
            <w:r>
              <w:rPr>
                <w:rFonts w:asciiTheme="majorHAnsi" w:hAnsiTheme="majorHAnsi" w:cs="Arial"/>
                <w:sz w:val="24"/>
                <w:szCs w:val="24"/>
              </w:rPr>
              <w:t>P1</w:t>
            </w:r>
          </w:p>
        </w:tc>
      </w:tr>
      <w:tr w:rsidR="006A3B40" w:rsidTr="006A3B40">
        <w:tc>
          <w:tcPr>
            <w:tcW w:w="5240" w:type="dxa"/>
            <w:gridSpan w:val="3"/>
            <w:shd w:val="clear" w:color="auto" w:fill="BFBFBF" w:themeFill="background1" w:themeFillShade="BF"/>
          </w:tcPr>
          <w:p w:rsidR="006A3B40" w:rsidRDefault="006A3B40" w:rsidP="00FB405B">
            <w:pPr>
              <w:spacing w:line="360" w:lineRule="auto"/>
              <w:jc w:val="both"/>
              <w:rPr>
                <w:rFonts w:asciiTheme="majorHAnsi" w:hAnsiTheme="majorHAnsi" w:cs="Arial"/>
                <w:sz w:val="24"/>
                <w:szCs w:val="24"/>
              </w:rPr>
            </w:pPr>
            <w:r>
              <w:rPr>
                <w:rFonts w:asciiTheme="majorHAnsi" w:hAnsiTheme="majorHAnsi" w:cs="Arial"/>
                <w:sz w:val="24"/>
                <w:szCs w:val="24"/>
              </w:rPr>
              <w:t>Tempo Requerido de Resistencia ao Fogo (TRRF)</w:t>
            </w:r>
          </w:p>
        </w:tc>
        <w:tc>
          <w:tcPr>
            <w:tcW w:w="3254" w:type="dxa"/>
            <w:gridSpan w:val="2"/>
          </w:tcPr>
          <w:p w:rsidR="006A3B40" w:rsidRDefault="006A3B40" w:rsidP="006A3B40">
            <w:pPr>
              <w:spacing w:line="360" w:lineRule="auto"/>
              <w:jc w:val="center"/>
              <w:rPr>
                <w:rFonts w:asciiTheme="majorHAnsi" w:hAnsiTheme="majorHAnsi" w:cs="Arial"/>
                <w:sz w:val="24"/>
                <w:szCs w:val="24"/>
              </w:rPr>
            </w:pPr>
            <w:r>
              <w:rPr>
                <w:rFonts w:asciiTheme="majorHAnsi" w:hAnsiTheme="majorHAnsi" w:cs="Arial"/>
                <w:sz w:val="24"/>
                <w:szCs w:val="24"/>
              </w:rPr>
              <w:t>30 minutos</w:t>
            </w:r>
          </w:p>
        </w:tc>
      </w:tr>
    </w:tbl>
    <w:p w:rsidR="006A3B40" w:rsidRPr="00D842BF" w:rsidRDefault="006A3B40" w:rsidP="00FB405B">
      <w:pPr>
        <w:spacing w:after="0" w:line="360" w:lineRule="auto"/>
        <w:jc w:val="both"/>
        <w:rPr>
          <w:rFonts w:asciiTheme="majorHAnsi" w:hAnsiTheme="majorHAnsi" w:cstheme="majorHAnsi"/>
          <w:sz w:val="24"/>
          <w:szCs w:val="24"/>
        </w:rPr>
      </w:pPr>
    </w:p>
    <w:p w:rsidR="006A3B40" w:rsidRPr="00D842BF" w:rsidRDefault="006A3B40" w:rsidP="006A3B40">
      <w:pPr>
        <w:spacing w:after="0" w:line="240" w:lineRule="auto"/>
        <w:jc w:val="both"/>
        <w:rPr>
          <w:rFonts w:asciiTheme="majorHAnsi" w:hAnsiTheme="majorHAnsi" w:cstheme="majorHAnsi"/>
          <w:b/>
          <w:sz w:val="24"/>
          <w:szCs w:val="24"/>
        </w:rPr>
      </w:pPr>
      <w:r w:rsidRPr="00D842BF">
        <w:rPr>
          <w:rFonts w:asciiTheme="majorHAnsi" w:hAnsiTheme="majorHAnsi" w:cstheme="majorHAnsi"/>
          <w:b/>
          <w:sz w:val="24"/>
          <w:szCs w:val="24"/>
        </w:rPr>
        <w:t>CONTROLE DE MATERIAIS DE ACABAMENTO E DE REVESTIMENTO (CMAR)</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Todo material ou conjunto de materiais empregados nas superfícies dos elementos construtivos das edificações, tanto nos ambientes internos como nos externos, com finalidades de atribuir características estéticas, de conforto, de durabilidade etc. Incluem-se como material de revestimento, os pisos, forros e as proteções térmicas dos elementos estruturais.</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O CMAR empregado nas edificações destina-se a estabelecer padrões para o não surgimento de condições propícias do crescimento e da propagação de incêndios, bem como da geração de fumaça.</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 xml:space="preserve">Deve ser exigido o CMAR, em razão da ocupação da edificação, e em função da posição dos materiais de acabamento, materiais de revestimento e materiais </w:t>
      </w:r>
      <w:proofErr w:type="spellStart"/>
      <w:r w:rsidRPr="00D842BF">
        <w:rPr>
          <w:rFonts w:asciiTheme="majorHAnsi" w:hAnsiTheme="majorHAnsi" w:cstheme="majorHAnsi"/>
          <w:sz w:val="24"/>
          <w:szCs w:val="24"/>
        </w:rPr>
        <w:t>termoacústicos</w:t>
      </w:r>
      <w:proofErr w:type="spellEnd"/>
      <w:r w:rsidRPr="00D842BF">
        <w:rPr>
          <w:rFonts w:asciiTheme="majorHAnsi" w:hAnsiTheme="majorHAnsi" w:cstheme="majorHAnsi"/>
          <w:sz w:val="24"/>
          <w:szCs w:val="24"/>
        </w:rPr>
        <w:t>, visando:</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a) piso;</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b) paredes/divisórias;</w:t>
      </w:r>
    </w:p>
    <w:p w:rsidR="006A3B40"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c) teto/forro;</w:t>
      </w:r>
    </w:p>
    <w:p w:rsidR="00FB405B" w:rsidRPr="00D842BF" w:rsidRDefault="006A3B40" w:rsidP="006A3B40">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 xml:space="preserve">As exigências quanto a utilização dos materiais será </w:t>
      </w:r>
      <w:proofErr w:type="gramStart"/>
      <w:r w:rsidRPr="00D842BF">
        <w:rPr>
          <w:rFonts w:asciiTheme="majorHAnsi" w:hAnsiTheme="majorHAnsi" w:cstheme="majorHAnsi"/>
          <w:sz w:val="24"/>
          <w:szCs w:val="24"/>
        </w:rPr>
        <w:t>requeridas</w:t>
      </w:r>
      <w:proofErr w:type="gramEnd"/>
      <w:r w:rsidRPr="00D842BF">
        <w:rPr>
          <w:rFonts w:asciiTheme="majorHAnsi" w:hAnsiTheme="majorHAnsi" w:cstheme="majorHAnsi"/>
          <w:sz w:val="24"/>
          <w:szCs w:val="24"/>
        </w:rPr>
        <w:t xml:space="preserve"> conforme a classificação da Tabela B, incluindo as disposições estabelecidas nas respectivas Notas genéricas.</w:t>
      </w:r>
    </w:p>
    <w:p w:rsidR="00FB405B" w:rsidRDefault="00FB405B" w:rsidP="00FB405B">
      <w:pPr>
        <w:spacing w:after="0" w:line="360" w:lineRule="auto"/>
        <w:jc w:val="both"/>
        <w:rPr>
          <w:rFonts w:asciiTheme="majorHAnsi" w:hAnsiTheme="majorHAnsi" w:cstheme="majorHAnsi"/>
          <w:sz w:val="24"/>
          <w:szCs w:val="24"/>
        </w:rPr>
      </w:pPr>
    </w:p>
    <w:p w:rsidR="00D842BF" w:rsidRPr="00D842BF" w:rsidRDefault="00D842BF" w:rsidP="00FB405B">
      <w:pPr>
        <w:spacing w:after="0" w:line="360" w:lineRule="auto"/>
        <w:jc w:val="both"/>
        <w:rPr>
          <w:rFonts w:asciiTheme="majorHAnsi" w:hAnsiTheme="majorHAnsi" w:cstheme="majorHAnsi"/>
          <w:sz w:val="24"/>
          <w:szCs w:val="24"/>
        </w:rPr>
      </w:pPr>
    </w:p>
    <w:tbl>
      <w:tblPr>
        <w:tblStyle w:val="Tabelacomgrade"/>
        <w:tblW w:w="0" w:type="auto"/>
        <w:tblLook w:val="04A0" w:firstRow="1" w:lastRow="0" w:firstColumn="1" w:lastColumn="0" w:noHBand="0" w:noVBand="1"/>
      </w:tblPr>
      <w:tblGrid>
        <w:gridCol w:w="1698"/>
        <w:gridCol w:w="1699"/>
        <w:gridCol w:w="1699"/>
        <w:gridCol w:w="1699"/>
        <w:gridCol w:w="1699"/>
      </w:tblGrid>
      <w:tr w:rsidR="006A3B40" w:rsidTr="00F87F7C">
        <w:tc>
          <w:tcPr>
            <w:tcW w:w="1698" w:type="dxa"/>
            <w:vMerge w:val="restart"/>
            <w:shd w:val="clear" w:color="auto" w:fill="BFBFBF" w:themeFill="background1" w:themeFillShade="BF"/>
          </w:tcPr>
          <w:p w:rsidR="006A3B40" w:rsidRPr="006A3B40" w:rsidRDefault="006A3B40" w:rsidP="006A3B40">
            <w:pPr>
              <w:jc w:val="center"/>
              <w:rPr>
                <w:b/>
                <w:sz w:val="20"/>
                <w:szCs w:val="20"/>
              </w:rPr>
            </w:pPr>
            <w:r w:rsidRPr="006A3B40">
              <w:rPr>
                <w:b/>
                <w:sz w:val="20"/>
                <w:szCs w:val="20"/>
              </w:rPr>
              <w:t>DIVISÃO</w:t>
            </w:r>
          </w:p>
        </w:tc>
        <w:tc>
          <w:tcPr>
            <w:tcW w:w="6796" w:type="dxa"/>
            <w:gridSpan w:val="4"/>
            <w:shd w:val="clear" w:color="auto" w:fill="BFBFBF" w:themeFill="background1" w:themeFillShade="BF"/>
          </w:tcPr>
          <w:p w:rsidR="006A3B40" w:rsidRPr="006A3B40" w:rsidRDefault="006A3B40" w:rsidP="006A3B40">
            <w:pPr>
              <w:jc w:val="center"/>
              <w:rPr>
                <w:b/>
                <w:sz w:val="20"/>
                <w:szCs w:val="20"/>
              </w:rPr>
            </w:pPr>
            <w:r>
              <w:rPr>
                <w:b/>
                <w:sz w:val="20"/>
                <w:szCs w:val="20"/>
              </w:rPr>
              <w:t>FINALIDADE DO MATERIAL</w:t>
            </w:r>
          </w:p>
        </w:tc>
      </w:tr>
      <w:tr w:rsidR="006A3B40" w:rsidTr="006A3B40">
        <w:tc>
          <w:tcPr>
            <w:tcW w:w="1698" w:type="dxa"/>
            <w:vMerge/>
            <w:shd w:val="clear" w:color="auto" w:fill="BFBFBF" w:themeFill="background1" w:themeFillShade="BF"/>
          </w:tcPr>
          <w:p w:rsidR="006A3B40" w:rsidRDefault="006A3B40" w:rsidP="006A3B40">
            <w:pPr>
              <w:jc w:val="both"/>
            </w:pPr>
          </w:p>
        </w:tc>
        <w:tc>
          <w:tcPr>
            <w:tcW w:w="1699" w:type="dxa"/>
            <w:shd w:val="clear" w:color="auto" w:fill="BFBFBF" w:themeFill="background1" w:themeFillShade="BF"/>
          </w:tcPr>
          <w:p w:rsidR="006A3B40" w:rsidRPr="006A3B40" w:rsidRDefault="006A3B40" w:rsidP="006A3B40">
            <w:pPr>
              <w:jc w:val="both"/>
              <w:rPr>
                <w:b/>
                <w:sz w:val="20"/>
                <w:szCs w:val="20"/>
              </w:rPr>
            </w:pPr>
            <w:r>
              <w:rPr>
                <w:b/>
                <w:sz w:val="20"/>
                <w:szCs w:val="20"/>
              </w:rPr>
              <w:t>Piso (acabamento¹ e revestimento)</w:t>
            </w:r>
          </w:p>
        </w:tc>
        <w:tc>
          <w:tcPr>
            <w:tcW w:w="1699" w:type="dxa"/>
            <w:shd w:val="clear" w:color="auto" w:fill="BFBFBF" w:themeFill="background1" w:themeFillShade="BF"/>
          </w:tcPr>
          <w:p w:rsidR="006A3B40" w:rsidRPr="006A3B40" w:rsidRDefault="006A3B40" w:rsidP="006A3B40">
            <w:pPr>
              <w:jc w:val="both"/>
              <w:rPr>
                <w:b/>
                <w:sz w:val="20"/>
                <w:szCs w:val="20"/>
              </w:rPr>
            </w:pPr>
            <w:r>
              <w:rPr>
                <w:b/>
                <w:sz w:val="20"/>
                <w:szCs w:val="20"/>
              </w:rPr>
              <w:t>Parede e divisória (acabamento² e revestimento)</w:t>
            </w:r>
          </w:p>
        </w:tc>
        <w:tc>
          <w:tcPr>
            <w:tcW w:w="1699" w:type="dxa"/>
            <w:shd w:val="clear" w:color="auto" w:fill="BFBFBF" w:themeFill="background1" w:themeFillShade="BF"/>
          </w:tcPr>
          <w:p w:rsidR="006A3B40" w:rsidRPr="006A3B40" w:rsidRDefault="006A3B40" w:rsidP="006A3B40">
            <w:pPr>
              <w:jc w:val="both"/>
              <w:rPr>
                <w:b/>
                <w:sz w:val="20"/>
                <w:szCs w:val="20"/>
              </w:rPr>
            </w:pPr>
            <w:r>
              <w:rPr>
                <w:b/>
                <w:sz w:val="20"/>
                <w:szCs w:val="20"/>
              </w:rPr>
              <w:t>Teto e forro (acabamento e revestimento)</w:t>
            </w:r>
          </w:p>
        </w:tc>
        <w:tc>
          <w:tcPr>
            <w:tcW w:w="1699" w:type="dxa"/>
            <w:shd w:val="clear" w:color="auto" w:fill="BFBFBF" w:themeFill="background1" w:themeFillShade="BF"/>
          </w:tcPr>
          <w:p w:rsidR="006A3B40" w:rsidRPr="006A3B40" w:rsidRDefault="006A3B40" w:rsidP="006A3B40">
            <w:pPr>
              <w:jc w:val="both"/>
              <w:rPr>
                <w:b/>
                <w:sz w:val="20"/>
                <w:szCs w:val="20"/>
              </w:rPr>
            </w:pPr>
            <w:r>
              <w:rPr>
                <w:b/>
                <w:sz w:val="20"/>
                <w:szCs w:val="20"/>
              </w:rPr>
              <w:t>Fachada (acabamento e revestimento)</w:t>
            </w:r>
          </w:p>
        </w:tc>
      </w:tr>
      <w:tr w:rsidR="006A3B40" w:rsidTr="006A3B40">
        <w:tc>
          <w:tcPr>
            <w:tcW w:w="1698" w:type="dxa"/>
          </w:tcPr>
          <w:p w:rsidR="006A3B40" w:rsidRDefault="006A3B40" w:rsidP="006A3B40">
            <w:pPr>
              <w:jc w:val="center"/>
            </w:pPr>
            <w:r>
              <w:t>E-5</w:t>
            </w:r>
          </w:p>
        </w:tc>
        <w:tc>
          <w:tcPr>
            <w:tcW w:w="1699" w:type="dxa"/>
          </w:tcPr>
          <w:p w:rsidR="006A3B40" w:rsidRDefault="006A3B40" w:rsidP="006A3B40">
            <w:pPr>
              <w:jc w:val="center"/>
            </w:pPr>
            <w:r>
              <w:t>Classe I, II-A, III-A ou IV-A</w:t>
            </w:r>
          </w:p>
        </w:tc>
        <w:tc>
          <w:tcPr>
            <w:tcW w:w="1699" w:type="dxa"/>
          </w:tcPr>
          <w:p w:rsidR="006A3B40" w:rsidRDefault="006A3B40" w:rsidP="006A3B40">
            <w:pPr>
              <w:jc w:val="center"/>
            </w:pPr>
            <w:r>
              <w:t>Classe I, II-A</w:t>
            </w:r>
          </w:p>
        </w:tc>
        <w:tc>
          <w:tcPr>
            <w:tcW w:w="1699" w:type="dxa"/>
          </w:tcPr>
          <w:p w:rsidR="006A3B40" w:rsidRDefault="006A3B40" w:rsidP="006A3B40">
            <w:pPr>
              <w:jc w:val="center"/>
            </w:pPr>
            <w:r>
              <w:t>Classe I, II-A</w:t>
            </w:r>
          </w:p>
        </w:tc>
        <w:tc>
          <w:tcPr>
            <w:tcW w:w="1699" w:type="dxa"/>
          </w:tcPr>
          <w:p w:rsidR="006A3B40" w:rsidRDefault="006A3B40" w:rsidP="006A3B40">
            <w:pPr>
              <w:jc w:val="center"/>
            </w:pPr>
            <w:r>
              <w:t>Classe I a II-B</w:t>
            </w:r>
          </w:p>
        </w:tc>
      </w:tr>
    </w:tbl>
    <w:p w:rsidR="006A3B40" w:rsidRPr="00D842BF" w:rsidRDefault="006A3B40" w:rsidP="00FB405B">
      <w:pPr>
        <w:spacing w:after="0" w:line="360" w:lineRule="auto"/>
        <w:jc w:val="both"/>
        <w:rPr>
          <w:rFonts w:asciiTheme="majorHAnsi" w:hAnsiTheme="majorHAnsi" w:cstheme="majorHAnsi"/>
          <w:sz w:val="24"/>
          <w:szCs w:val="24"/>
        </w:rPr>
      </w:pPr>
    </w:p>
    <w:p w:rsidR="006A3B40" w:rsidRPr="00D842BF" w:rsidRDefault="006A3B40" w:rsidP="00FB405B">
      <w:pPr>
        <w:spacing w:after="0" w:line="360" w:lineRule="auto"/>
        <w:jc w:val="both"/>
        <w:rPr>
          <w:rFonts w:asciiTheme="majorHAnsi" w:hAnsiTheme="majorHAnsi" w:cstheme="majorHAnsi"/>
          <w:b/>
          <w:sz w:val="24"/>
          <w:szCs w:val="24"/>
        </w:rPr>
      </w:pPr>
      <w:r w:rsidRPr="00D842BF">
        <w:rPr>
          <w:rFonts w:asciiTheme="majorHAnsi" w:hAnsiTheme="majorHAnsi" w:cstheme="majorHAnsi"/>
          <w:b/>
          <w:sz w:val="24"/>
          <w:szCs w:val="24"/>
        </w:rPr>
        <w:t>NOTAS ESPECÍFICAS:</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1 – Incluem-se aqui cordões, rodapés e arremates;</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lastRenderedPageBreak/>
        <w:t>2 – Excluem-se aqui portas, janelas, cordões e outros acabamentos decorativos com área inferior a 20% da parede onde estão aplicados;</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3 – Somente para líquidos e gases combustíveis e inflamáveis acondicionados;</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4 – Exceto edificação térrea;</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5 – Obrigatório para todo o grupo F, sendo que a divisão F-7, no que se refere a edificações com altura superior a 6 metros, será submetida à Comissão Técnica para definição das medidas de segurança contra incêndio;</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6 – Somente para edificações com altura superior a 12 metros;</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7 – Exceto para cozinhas que serão Classe I ou II-A;</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8 – Exceto para revestimentos que serão Classe I, II-A, III-A ou IV-A;</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9 – Exceto para revestimentos que serão Classe I, II-A ou III-A;</w:t>
      </w:r>
    </w:p>
    <w:p w:rsidR="006A3B40" w:rsidRPr="00D842BF" w:rsidRDefault="006A3B40" w:rsidP="00FB405B">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10 – Exceto para revestimentos que serão Classe I ou II-A.</w:t>
      </w:r>
    </w:p>
    <w:p w:rsidR="00FB405B" w:rsidRPr="00D842BF" w:rsidRDefault="00FB405B" w:rsidP="00FB405B">
      <w:pPr>
        <w:spacing w:after="0" w:line="360" w:lineRule="auto"/>
        <w:jc w:val="both"/>
        <w:rPr>
          <w:rFonts w:asciiTheme="majorHAnsi" w:hAnsiTheme="majorHAnsi" w:cstheme="majorHAnsi"/>
          <w:sz w:val="24"/>
          <w:szCs w:val="24"/>
        </w:rPr>
      </w:pPr>
    </w:p>
    <w:p w:rsidR="00876753" w:rsidRPr="00D842BF" w:rsidRDefault="003F3007" w:rsidP="00876753">
      <w:pPr>
        <w:spacing w:after="0" w:line="240" w:lineRule="auto"/>
        <w:jc w:val="both"/>
        <w:rPr>
          <w:rFonts w:asciiTheme="majorHAnsi" w:hAnsiTheme="majorHAnsi" w:cstheme="majorHAnsi"/>
          <w:b/>
          <w:sz w:val="24"/>
          <w:szCs w:val="24"/>
        </w:rPr>
      </w:pPr>
      <w:r w:rsidRPr="00D842BF">
        <w:rPr>
          <w:rFonts w:asciiTheme="majorHAnsi" w:hAnsiTheme="majorHAnsi" w:cstheme="majorHAnsi"/>
          <w:b/>
          <w:sz w:val="24"/>
          <w:szCs w:val="24"/>
        </w:rPr>
        <w:t>NORMAS E ESPECIFICAÇÕES</w:t>
      </w:r>
    </w:p>
    <w:p w:rsidR="00876753" w:rsidRPr="00D842BF" w:rsidRDefault="00876753" w:rsidP="001968AC">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Para o desenvolvimento das soluções apresentadas foram observadas as normas, códigos e recomendações das entidades a seguir relacionadas:</w:t>
      </w:r>
    </w:p>
    <w:p w:rsidR="00B16398" w:rsidRPr="00D842BF" w:rsidRDefault="00B16398" w:rsidP="001968AC">
      <w:pPr>
        <w:spacing w:after="0" w:line="360" w:lineRule="auto"/>
        <w:jc w:val="both"/>
        <w:rPr>
          <w:rFonts w:asciiTheme="majorHAnsi" w:hAnsiTheme="majorHAnsi" w:cstheme="majorHAnsi"/>
          <w:sz w:val="24"/>
          <w:szCs w:val="24"/>
        </w:rPr>
      </w:pP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NR-23 – Proteção Contra Incêndio;</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9077/93, Saída de Emergência em Edifícios;</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9441/98, Execução de Sistema de Detecção e Alarme de Incêndio;</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10898/90, Sistema de Iluminação de Emergência;</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12693/93, Sistema de Proteção por Extintores de Incêndio;</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- 13434/95, Sistema de Segurança Contra Incêndio e Pânico;</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NBR – 13437/95, Símbolo Gráfico para Sinalização Contra Incêndio e Pânico;</w:t>
      </w:r>
    </w:p>
    <w:p w:rsidR="0092596A" w:rsidRPr="00D842BF" w:rsidRDefault="0092596A" w:rsidP="0092596A">
      <w:pPr>
        <w:pStyle w:val="PargrafodaLista"/>
        <w:numPr>
          <w:ilvl w:val="0"/>
          <w:numId w:val="6"/>
        </w:num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Consultado outras NORMAS.</w:t>
      </w:r>
    </w:p>
    <w:p w:rsidR="00B16398" w:rsidRPr="00D842BF" w:rsidRDefault="00B16398" w:rsidP="001968AC">
      <w:pPr>
        <w:spacing w:after="0" w:line="360" w:lineRule="auto"/>
        <w:jc w:val="both"/>
        <w:rPr>
          <w:rFonts w:asciiTheme="majorHAnsi" w:hAnsiTheme="majorHAnsi" w:cstheme="majorHAnsi"/>
          <w:sz w:val="24"/>
          <w:szCs w:val="24"/>
        </w:rPr>
      </w:pPr>
    </w:p>
    <w:p w:rsidR="006A3B40" w:rsidRPr="00D842BF" w:rsidRDefault="006A3B40" w:rsidP="006A3B40">
      <w:pPr>
        <w:spacing w:after="0" w:line="240" w:lineRule="auto"/>
        <w:jc w:val="both"/>
        <w:rPr>
          <w:rFonts w:asciiTheme="majorHAnsi" w:hAnsiTheme="majorHAnsi" w:cstheme="majorHAnsi"/>
          <w:b/>
          <w:sz w:val="24"/>
          <w:szCs w:val="24"/>
        </w:rPr>
      </w:pPr>
      <w:r w:rsidRPr="00D842BF">
        <w:rPr>
          <w:rFonts w:asciiTheme="majorHAnsi" w:hAnsiTheme="majorHAnsi" w:cstheme="majorHAnsi"/>
          <w:b/>
          <w:sz w:val="24"/>
          <w:szCs w:val="24"/>
        </w:rPr>
        <w:t>SINALIZAÇÃO DE EMERGÊNCIA – CONFORME NTCB 15 DO CBMMT</w:t>
      </w:r>
    </w:p>
    <w:p w:rsidR="006A3B40" w:rsidRPr="00D842BF" w:rsidRDefault="006A3B40" w:rsidP="001968AC">
      <w:pPr>
        <w:spacing w:after="0" w:line="360" w:lineRule="auto"/>
        <w:jc w:val="both"/>
        <w:rPr>
          <w:rFonts w:asciiTheme="majorHAnsi" w:hAnsiTheme="majorHAnsi" w:cstheme="majorHAnsi"/>
          <w:sz w:val="24"/>
          <w:szCs w:val="24"/>
        </w:rPr>
      </w:pPr>
      <w:r w:rsidRPr="00D842BF">
        <w:rPr>
          <w:rFonts w:asciiTheme="majorHAnsi" w:hAnsiTheme="majorHAnsi" w:cstheme="majorHAnsi"/>
          <w:sz w:val="24"/>
          <w:szCs w:val="24"/>
        </w:rPr>
        <w:t xml:space="preserve">A sinalização de segurança contra incêndio tem como objetivo reduzir o risco de ocorrência de incêndio, alertando para os riscos existentes, e garantir que sejam adotadas ações adequadas à situação de risco, que orientem as ações de combatem e facilitem a localização dos equipamentos e das rotas de saídas para abandono seguro da </w:t>
      </w:r>
      <w:r w:rsidRPr="00D842BF">
        <w:rPr>
          <w:rFonts w:asciiTheme="majorHAnsi" w:hAnsiTheme="majorHAnsi" w:cstheme="majorHAnsi"/>
          <w:sz w:val="24"/>
          <w:szCs w:val="24"/>
        </w:rPr>
        <w:lastRenderedPageBreak/>
        <w:t>edificação em caso de incêndio. A manutenção das sinalizações de emergência deverá seguir as instruções da NBR 13434.</w:t>
      </w:r>
    </w:p>
    <w:p w:rsidR="006A3B40" w:rsidRPr="00D842BF" w:rsidRDefault="006A3B40" w:rsidP="001968AC">
      <w:pPr>
        <w:spacing w:after="0" w:line="360" w:lineRule="auto"/>
        <w:jc w:val="both"/>
        <w:rPr>
          <w:rFonts w:asciiTheme="majorHAnsi" w:hAnsiTheme="majorHAnsi" w:cstheme="majorHAnsi"/>
          <w:sz w:val="24"/>
          <w:szCs w:val="24"/>
        </w:rPr>
      </w:pPr>
    </w:p>
    <w:tbl>
      <w:tblPr>
        <w:tblStyle w:val="Tabelacomgrade"/>
        <w:tblW w:w="0" w:type="auto"/>
        <w:tblLook w:val="04A0" w:firstRow="1" w:lastRow="0" w:firstColumn="1" w:lastColumn="0" w:noHBand="0" w:noVBand="1"/>
      </w:tblPr>
      <w:tblGrid>
        <w:gridCol w:w="2405"/>
        <w:gridCol w:w="2126"/>
        <w:gridCol w:w="3963"/>
      </w:tblGrid>
      <w:tr w:rsidR="006A3B40" w:rsidTr="006A3B40">
        <w:tc>
          <w:tcPr>
            <w:tcW w:w="4531" w:type="dxa"/>
            <w:gridSpan w:val="2"/>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Pr>
                <w:rFonts w:asciiTheme="majorHAnsi" w:hAnsiTheme="majorHAnsi" w:cs="Arial"/>
                <w:b/>
                <w:sz w:val="20"/>
                <w:szCs w:val="20"/>
              </w:rPr>
              <w:t>Sinalização de orientação e salvamento</w:t>
            </w:r>
          </w:p>
        </w:tc>
        <w:tc>
          <w:tcPr>
            <w:tcW w:w="3963" w:type="dxa"/>
            <w:tcBorders>
              <w:bottom w:val="single" w:sz="4" w:space="0" w:color="auto"/>
            </w:tcBorders>
          </w:tcPr>
          <w:p w:rsidR="006A3B40" w:rsidRPr="006A3B40" w:rsidRDefault="006A3B40" w:rsidP="006A3B40">
            <w:pPr>
              <w:jc w:val="both"/>
              <w:rPr>
                <w:rFonts w:asciiTheme="majorHAnsi" w:hAnsiTheme="majorHAnsi" w:cs="Arial"/>
                <w:sz w:val="20"/>
                <w:szCs w:val="20"/>
              </w:rPr>
            </w:pPr>
            <w:r w:rsidRPr="006A3B40">
              <w:rPr>
                <w:rFonts w:asciiTheme="majorHAnsi" w:hAnsiTheme="majorHAnsi" w:cs="Arial"/>
                <w:sz w:val="20"/>
                <w:szCs w:val="20"/>
              </w:rPr>
              <w:t>Símbolo: Retangular</w:t>
            </w:r>
          </w:p>
          <w:p w:rsidR="006A3B40" w:rsidRPr="006A3B40" w:rsidRDefault="006A3B40" w:rsidP="006A3B40">
            <w:pPr>
              <w:jc w:val="both"/>
              <w:rPr>
                <w:rFonts w:asciiTheme="majorHAnsi" w:hAnsiTheme="majorHAnsi" w:cs="Arial"/>
                <w:sz w:val="20"/>
                <w:szCs w:val="20"/>
              </w:rPr>
            </w:pPr>
            <w:r w:rsidRPr="006A3B40">
              <w:rPr>
                <w:rFonts w:asciiTheme="majorHAnsi" w:hAnsiTheme="majorHAnsi" w:cs="Arial"/>
                <w:sz w:val="20"/>
                <w:szCs w:val="20"/>
              </w:rPr>
              <w:t>Fundo: Verde</w:t>
            </w:r>
          </w:p>
          <w:p w:rsidR="006A3B40" w:rsidRDefault="006A3B40" w:rsidP="006A3B40">
            <w:pPr>
              <w:jc w:val="both"/>
              <w:rPr>
                <w:rFonts w:asciiTheme="majorHAnsi" w:hAnsiTheme="majorHAnsi" w:cs="Arial"/>
                <w:sz w:val="24"/>
                <w:szCs w:val="24"/>
              </w:rPr>
            </w:pPr>
            <w:r w:rsidRPr="006A3B40">
              <w:rPr>
                <w:rFonts w:asciiTheme="majorHAnsi" w:hAnsiTheme="majorHAnsi" w:cs="Arial"/>
                <w:sz w:val="20"/>
                <w:szCs w:val="20"/>
              </w:rPr>
              <w:t>Pictograma: Fotoluminescente</w:t>
            </w:r>
          </w:p>
        </w:tc>
      </w:tr>
      <w:tr w:rsidR="006A3B40" w:rsidTr="006A3B40">
        <w:tc>
          <w:tcPr>
            <w:tcW w:w="2405" w:type="dxa"/>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Pr>
                <w:rFonts w:asciiTheme="majorHAnsi" w:hAnsiTheme="majorHAnsi" w:cs="Arial"/>
                <w:b/>
                <w:sz w:val="20"/>
                <w:szCs w:val="20"/>
              </w:rPr>
              <w:t>Código / Símbolo</w:t>
            </w:r>
          </w:p>
        </w:tc>
        <w:tc>
          <w:tcPr>
            <w:tcW w:w="2126" w:type="dxa"/>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Pr>
                <w:rFonts w:asciiTheme="majorHAnsi" w:hAnsiTheme="majorHAnsi" w:cs="Arial"/>
                <w:b/>
                <w:sz w:val="20"/>
                <w:szCs w:val="20"/>
              </w:rPr>
              <w:t>Significado</w:t>
            </w:r>
          </w:p>
        </w:tc>
        <w:tc>
          <w:tcPr>
            <w:tcW w:w="3963" w:type="dxa"/>
            <w:shd w:val="clear" w:color="auto" w:fill="BFBFBF" w:themeFill="background1" w:themeFillShade="BF"/>
          </w:tcPr>
          <w:p w:rsidR="006A3B40" w:rsidRPr="006A3B40" w:rsidRDefault="006A3B40" w:rsidP="006A3B40">
            <w:pPr>
              <w:spacing w:line="360" w:lineRule="auto"/>
              <w:jc w:val="center"/>
              <w:rPr>
                <w:rFonts w:asciiTheme="majorHAnsi" w:hAnsiTheme="majorHAnsi" w:cs="Arial"/>
                <w:b/>
                <w:sz w:val="20"/>
                <w:szCs w:val="20"/>
              </w:rPr>
            </w:pPr>
            <w:r>
              <w:rPr>
                <w:rFonts w:asciiTheme="majorHAnsi" w:hAnsiTheme="majorHAnsi" w:cs="Arial"/>
                <w:b/>
                <w:sz w:val="20"/>
                <w:szCs w:val="20"/>
              </w:rPr>
              <w:t>Aplicação</w:t>
            </w:r>
          </w:p>
        </w:tc>
      </w:tr>
      <w:tr w:rsidR="006A3B40" w:rsidTr="006A3B40">
        <w:tc>
          <w:tcPr>
            <w:tcW w:w="2405" w:type="dxa"/>
          </w:tcPr>
          <w:p w:rsidR="006A3B40" w:rsidRDefault="00D842BF" w:rsidP="00D842BF">
            <w:pPr>
              <w:spacing w:line="360" w:lineRule="auto"/>
              <w:jc w:val="center"/>
              <w:rPr>
                <w:rFonts w:asciiTheme="majorHAnsi" w:hAnsiTheme="majorHAnsi" w:cs="Arial"/>
                <w:sz w:val="24"/>
                <w:szCs w:val="24"/>
              </w:rPr>
            </w:pPr>
            <w:r>
              <w:rPr>
                <w:noProof/>
                <w:lang w:eastAsia="pt-BR"/>
              </w:rPr>
              <w:drawing>
                <wp:inline distT="0" distB="0" distL="0" distR="0" wp14:anchorId="375D53CE" wp14:editId="734C158D">
                  <wp:extent cx="695325" cy="466725"/>
                  <wp:effectExtent l="0" t="0" r="9525"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95325" cy="466725"/>
                          </a:xfrm>
                          <a:prstGeom prst="rect">
                            <a:avLst/>
                          </a:prstGeom>
                        </pic:spPr>
                      </pic:pic>
                    </a:graphicData>
                  </a:graphic>
                </wp:inline>
              </w:drawing>
            </w:r>
          </w:p>
        </w:tc>
        <w:tc>
          <w:tcPr>
            <w:tcW w:w="2126" w:type="dxa"/>
          </w:tcPr>
          <w:p w:rsidR="006A3B40" w:rsidRDefault="006A3B40" w:rsidP="001968AC">
            <w:pPr>
              <w:spacing w:line="360" w:lineRule="auto"/>
              <w:jc w:val="both"/>
              <w:rPr>
                <w:rFonts w:asciiTheme="majorHAnsi" w:hAnsiTheme="majorHAnsi" w:cs="Arial"/>
                <w:sz w:val="24"/>
                <w:szCs w:val="24"/>
              </w:rPr>
            </w:pPr>
            <w:r>
              <w:t>Saída emergência</w:t>
            </w:r>
          </w:p>
        </w:tc>
        <w:tc>
          <w:tcPr>
            <w:tcW w:w="3963" w:type="dxa"/>
          </w:tcPr>
          <w:p w:rsidR="006A3B40" w:rsidRPr="006A3B40" w:rsidRDefault="006A3B40" w:rsidP="006A3B40">
            <w:pPr>
              <w:jc w:val="both"/>
              <w:rPr>
                <w:rFonts w:asciiTheme="majorHAnsi" w:hAnsiTheme="majorHAnsi" w:cs="Arial"/>
                <w:sz w:val="20"/>
                <w:szCs w:val="20"/>
              </w:rPr>
            </w:pPr>
            <w:r w:rsidRPr="006A3B40">
              <w:rPr>
                <w:sz w:val="20"/>
                <w:szCs w:val="20"/>
              </w:rPr>
              <w:t>Indicação do sentido (esquerda ou direita) de uma saída de emergência, especialmente para ser fixado em colunas. Dimensões mínimas: L = 1,5H.</w:t>
            </w:r>
          </w:p>
        </w:tc>
      </w:tr>
      <w:tr w:rsidR="006A3B40" w:rsidTr="006A3B40">
        <w:tc>
          <w:tcPr>
            <w:tcW w:w="2405" w:type="dxa"/>
          </w:tcPr>
          <w:p w:rsidR="006A3B40" w:rsidRDefault="00D842BF" w:rsidP="00D842BF">
            <w:pPr>
              <w:spacing w:line="360" w:lineRule="auto"/>
              <w:jc w:val="center"/>
              <w:rPr>
                <w:rFonts w:asciiTheme="majorHAnsi" w:hAnsiTheme="majorHAnsi" w:cs="Arial"/>
                <w:sz w:val="24"/>
                <w:szCs w:val="24"/>
              </w:rPr>
            </w:pPr>
            <w:r>
              <w:rPr>
                <w:noProof/>
                <w:lang w:eastAsia="pt-BR"/>
              </w:rPr>
              <w:drawing>
                <wp:inline distT="0" distB="0" distL="0" distR="0" wp14:anchorId="0B295F20" wp14:editId="24782539">
                  <wp:extent cx="762000" cy="485775"/>
                  <wp:effectExtent l="0" t="0" r="0"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62000" cy="485775"/>
                          </a:xfrm>
                          <a:prstGeom prst="rect">
                            <a:avLst/>
                          </a:prstGeom>
                        </pic:spPr>
                      </pic:pic>
                    </a:graphicData>
                  </a:graphic>
                </wp:inline>
              </w:drawing>
            </w:r>
          </w:p>
        </w:tc>
        <w:tc>
          <w:tcPr>
            <w:tcW w:w="2126" w:type="dxa"/>
          </w:tcPr>
          <w:p w:rsidR="006A3B40" w:rsidRDefault="006A3B40" w:rsidP="001968AC">
            <w:pPr>
              <w:spacing w:line="360" w:lineRule="auto"/>
              <w:jc w:val="both"/>
              <w:rPr>
                <w:rFonts w:asciiTheme="majorHAnsi" w:hAnsiTheme="majorHAnsi" w:cs="Arial"/>
                <w:sz w:val="24"/>
                <w:szCs w:val="24"/>
              </w:rPr>
            </w:pPr>
            <w:r>
              <w:t>Saída emergência</w:t>
            </w:r>
          </w:p>
        </w:tc>
        <w:tc>
          <w:tcPr>
            <w:tcW w:w="3963" w:type="dxa"/>
          </w:tcPr>
          <w:p w:rsidR="006A3B40" w:rsidRPr="006A3B40" w:rsidRDefault="006A3B40" w:rsidP="006A3B40">
            <w:pPr>
              <w:jc w:val="both"/>
              <w:rPr>
                <w:rFonts w:asciiTheme="majorHAnsi" w:hAnsiTheme="majorHAnsi" w:cs="Arial"/>
                <w:sz w:val="20"/>
                <w:szCs w:val="20"/>
              </w:rPr>
            </w:pPr>
            <w:r w:rsidRPr="006A3B40">
              <w:rPr>
                <w:sz w:val="20"/>
                <w:szCs w:val="20"/>
              </w:rPr>
              <w:t>Indicação do sentido (esquerda ou direita) de uma saída de emergência. Dimensões mínimas: L = 2,0H.</w:t>
            </w:r>
          </w:p>
        </w:tc>
      </w:tr>
      <w:tr w:rsidR="006A3B40" w:rsidTr="006A3B40">
        <w:tc>
          <w:tcPr>
            <w:tcW w:w="2405" w:type="dxa"/>
          </w:tcPr>
          <w:p w:rsidR="006A3B40" w:rsidRDefault="00D842BF" w:rsidP="00D842BF">
            <w:pPr>
              <w:spacing w:line="360" w:lineRule="auto"/>
              <w:jc w:val="center"/>
              <w:rPr>
                <w:rFonts w:asciiTheme="majorHAnsi" w:hAnsiTheme="majorHAnsi" w:cs="Arial"/>
                <w:sz w:val="24"/>
                <w:szCs w:val="24"/>
              </w:rPr>
            </w:pPr>
            <w:r>
              <w:rPr>
                <w:noProof/>
                <w:lang w:eastAsia="pt-BR"/>
              </w:rPr>
              <w:drawing>
                <wp:inline distT="0" distB="0" distL="0" distR="0" wp14:anchorId="2E4FC743" wp14:editId="11B9E12F">
                  <wp:extent cx="704850" cy="3810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4850" cy="381000"/>
                          </a:xfrm>
                          <a:prstGeom prst="rect">
                            <a:avLst/>
                          </a:prstGeom>
                        </pic:spPr>
                      </pic:pic>
                    </a:graphicData>
                  </a:graphic>
                </wp:inline>
              </w:drawing>
            </w:r>
          </w:p>
        </w:tc>
        <w:tc>
          <w:tcPr>
            <w:tcW w:w="2126" w:type="dxa"/>
          </w:tcPr>
          <w:p w:rsidR="006A3B40" w:rsidRDefault="006A3B40" w:rsidP="001968AC">
            <w:pPr>
              <w:spacing w:line="360" w:lineRule="auto"/>
              <w:jc w:val="both"/>
              <w:rPr>
                <w:rFonts w:asciiTheme="majorHAnsi" w:hAnsiTheme="majorHAnsi" w:cs="Arial"/>
                <w:sz w:val="24"/>
                <w:szCs w:val="24"/>
              </w:rPr>
            </w:pPr>
            <w:r>
              <w:t>Saída emergência</w:t>
            </w:r>
          </w:p>
        </w:tc>
        <w:tc>
          <w:tcPr>
            <w:tcW w:w="3963" w:type="dxa"/>
          </w:tcPr>
          <w:p w:rsidR="006A3B40" w:rsidRPr="006A3B40" w:rsidRDefault="006A3B40" w:rsidP="006A3B40">
            <w:pPr>
              <w:jc w:val="both"/>
              <w:rPr>
                <w:rFonts w:asciiTheme="majorHAnsi" w:hAnsiTheme="majorHAnsi" w:cs="Arial"/>
                <w:sz w:val="20"/>
                <w:szCs w:val="20"/>
              </w:rPr>
            </w:pPr>
            <w:r w:rsidRPr="006A3B40">
              <w:rPr>
                <w:sz w:val="20"/>
                <w:szCs w:val="20"/>
              </w:rPr>
              <w:t>Indicação de uma saída de emergência a ser afixada acima da porta, para indicar o seu acesso.</w:t>
            </w:r>
          </w:p>
        </w:tc>
      </w:tr>
    </w:tbl>
    <w:p w:rsidR="006A3B40" w:rsidRDefault="006A3B40" w:rsidP="001968AC">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2405"/>
        <w:gridCol w:w="2126"/>
        <w:gridCol w:w="3963"/>
      </w:tblGrid>
      <w:tr w:rsidR="00D842BF" w:rsidTr="00F87F7C">
        <w:tc>
          <w:tcPr>
            <w:tcW w:w="4531" w:type="dxa"/>
            <w:gridSpan w:val="2"/>
            <w:shd w:val="clear" w:color="auto" w:fill="BFBFBF" w:themeFill="background1" w:themeFillShade="BF"/>
          </w:tcPr>
          <w:p w:rsidR="00D842BF" w:rsidRPr="006A3B40" w:rsidRDefault="00D842BF" w:rsidP="00D842BF">
            <w:pPr>
              <w:spacing w:line="360" w:lineRule="auto"/>
              <w:jc w:val="center"/>
              <w:rPr>
                <w:rFonts w:asciiTheme="majorHAnsi" w:hAnsiTheme="majorHAnsi" w:cs="Arial"/>
                <w:b/>
                <w:sz w:val="20"/>
                <w:szCs w:val="20"/>
              </w:rPr>
            </w:pPr>
            <w:r>
              <w:rPr>
                <w:rFonts w:asciiTheme="majorHAnsi" w:hAnsiTheme="majorHAnsi" w:cs="Arial"/>
                <w:b/>
                <w:sz w:val="20"/>
                <w:szCs w:val="20"/>
              </w:rPr>
              <w:t>Sinalização de equipamento</w:t>
            </w:r>
          </w:p>
        </w:tc>
        <w:tc>
          <w:tcPr>
            <w:tcW w:w="3963" w:type="dxa"/>
            <w:tcBorders>
              <w:bottom w:val="single" w:sz="4" w:space="0" w:color="auto"/>
            </w:tcBorders>
          </w:tcPr>
          <w:p w:rsidR="00D842BF" w:rsidRPr="006A3B40" w:rsidRDefault="00D842BF" w:rsidP="00F87F7C">
            <w:pPr>
              <w:jc w:val="both"/>
              <w:rPr>
                <w:rFonts w:asciiTheme="majorHAnsi" w:hAnsiTheme="majorHAnsi" w:cs="Arial"/>
                <w:sz w:val="20"/>
                <w:szCs w:val="20"/>
              </w:rPr>
            </w:pPr>
            <w:r w:rsidRPr="006A3B40">
              <w:rPr>
                <w:rFonts w:asciiTheme="majorHAnsi" w:hAnsiTheme="majorHAnsi" w:cs="Arial"/>
                <w:sz w:val="20"/>
                <w:szCs w:val="20"/>
              </w:rPr>
              <w:t>Símbolo: Retangular</w:t>
            </w:r>
          </w:p>
          <w:p w:rsidR="00D842BF" w:rsidRPr="006A3B40" w:rsidRDefault="00D842BF" w:rsidP="00F87F7C">
            <w:pPr>
              <w:jc w:val="both"/>
              <w:rPr>
                <w:rFonts w:asciiTheme="majorHAnsi" w:hAnsiTheme="majorHAnsi" w:cs="Arial"/>
                <w:sz w:val="20"/>
                <w:szCs w:val="20"/>
              </w:rPr>
            </w:pPr>
            <w:r w:rsidRPr="006A3B40">
              <w:rPr>
                <w:rFonts w:asciiTheme="majorHAnsi" w:hAnsiTheme="majorHAnsi" w:cs="Arial"/>
                <w:sz w:val="20"/>
                <w:szCs w:val="20"/>
              </w:rPr>
              <w:t xml:space="preserve">Fundo: </w:t>
            </w:r>
            <w:r>
              <w:rPr>
                <w:rFonts w:asciiTheme="majorHAnsi" w:hAnsiTheme="majorHAnsi" w:cs="Arial"/>
                <w:sz w:val="20"/>
                <w:szCs w:val="20"/>
              </w:rPr>
              <w:t>Vermelho</w:t>
            </w:r>
          </w:p>
          <w:p w:rsidR="00D842BF" w:rsidRDefault="00D842BF" w:rsidP="00F87F7C">
            <w:pPr>
              <w:jc w:val="both"/>
              <w:rPr>
                <w:rFonts w:asciiTheme="majorHAnsi" w:hAnsiTheme="majorHAnsi" w:cs="Arial"/>
                <w:sz w:val="24"/>
                <w:szCs w:val="24"/>
              </w:rPr>
            </w:pPr>
            <w:r w:rsidRPr="006A3B40">
              <w:rPr>
                <w:rFonts w:asciiTheme="majorHAnsi" w:hAnsiTheme="majorHAnsi" w:cs="Arial"/>
                <w:sz w:val="20"/>
                <w:szCs w:val="20"/>
              </w:rPr>
              <w:t>Pictograma: Fotoluminescente</w:t>
            </w:r>
          </w:p>
        </w:tc>
      </w:tr>
      <w:tr w:rsidR="00D842BF" w:rsidTr="00F87F7C">
        <w:tc>
          <w:tcPr>
            <w:tcW w:w="2405" w:type="dxa"/>
            <w:shd w:val="clear" w:color="auto" w:fill="BFBFBF" w:themeFill="background1" w:themeFillShade="BF"/>
          </w:tcPr>
          <w:p w:rsidR="00D842BF" w:rsidRPr="006A3B40" w:rsidRDefault="00D842BF" w:rsidP="00F87F7C">
            <w:pPr>
              <w:spacing w:line="360" w:lineRule="auto"/>
              <w:jc w:val="center"/>
              <w:rPr>
                <w:rFonts w:asciiTheme="majorHAnsi" w:hAnsiTheme="majorHAnsi" w:cs="Arial"/>
                <w:b/>
                <w:sz w:val="20"/>
                <w:szCs w:val="20"/>
              </w:rPr>
            </w:pPr>
            <w:r>
              <w:rPr>
                <w:rFonts w:asciiTheme="majorHAnsi" w:hAnsiTheme="majorHAnsi" w:cs="Arial"/>
                <w:b/>
                <w:sz w:val="20"/>
                <w:szCs w:val="20"/>
              </w:rPr>
              <w:t>Código / Símbolo</w:t>
            </w:r>
          </w:p>
        </w:tc>
        <w:tc>
          <w:tcPr>
            <w:tcW w:w="2126" w:type="dxa"/>
            <w:shd w:val="clear" w:color="auto" w:fill="BFBFBF" w:themeFill="background1" w:themeFillShade="BF"/>
          </w:tcPr>
          <w:p w:rsidR="00D842BF" w:rsidRPr="006A3B40" w:rsidRDefault="00D842BF" w:rsidP="00F87F7C">
            <w:pPr>
              <w:spacing w:line="360" w:lineRule="auto"/>
              <w:jc w:val="center"/>
              <w:rPr>
                <w:rFonts w:asciiTheme="majorHAnsi" w:hAnsiTheme="majorHAnsi" w:cs="Arial"/>
                <w:b/>
                <w:sz w:val="20"/>
                <w:szCs w:val="20"/>
              </w:rPr>
            </w:pPr>
            <w:r>
              <w:rPr>
                <w:rFonts w:asciiTheme="majorHAnsi" w:hAnsiTheme="majorHAnsi" w:cs="Arial"/>
                <w:b/>
                <w:sz w:val="20"/>
                <w:szCs w:val="20"/>
              </w:rPr>
              <w:t>Significado</w:t>
            </w:r>
          </w:p>
        </w:tc>
        <w:tc>
          <w:tcPr>
            <w:tcW w:w="3963" w:type="dxa"/>
            <w:shd w:val="clear" w:color="auto" w:fill="BFBFBF" w:themeFill="background1" w:themeFillShade="BF"/>
          </w:tcPr>
          <w:p w:rsidR="00D842BF" w:rsidRPr="006A3B40" w:rsidRDefault="00D842BF" w:rsidP="00F87F7C">
            <w:pPr>
              <w:spacing w:line="360" w:lineRule="auto"/>
              <w:jc w:val="center"/>
              <w:rPr>
                <w:rFonts w:asciiTheme="majorHAnsi" w:hAnsiTheme="majorHAnsi" w:cs="Arial"/>
                <w:b/>
                <w:sz w:val="20"/>
                <w:szCs w:val="20"/>
              </w:rPr>
            </w:pPr>
            <w:r>
              <w:rPr>
                <w:rFonts w:asciiTheme="majorHAnsi" w:hAnsiTheme="majorHAnsi" w:cs="Arial"/>
                <w:b/>
                <w:sz w:val="20"/>
                <w:szCs w:val="20"/>
              </w:rPr>
              <w:t>Aplicação</w:t>
            </w:r>
          </w:p>
        </w:tc>
      </w:tr>
      <w:tr w:rsidR="00D842BF" w:rsidTr="00F87F7C">
        <w:tc>
          <w:tcPr>
            <w:tcW w:w="2405" w:type="dxa"/>
          </w:tcPr>
          <w:p w:rsidR="00D842BF" w:rsidRDefault="00D842BF" w:rsidP="00F87F7C">
            <w:pPr>
              <w:spacing w:line="360" w:lineRule="auto"/>
              <w:jc w:val="center"/>
              <w:rPr>
                <w:rFonts w:asciiTheme="majorHAnsi" w:hAnsiTheme="majorHAnsi" w:cs="Arial"/>
                <w:sz w:val="24"/>
                <w:szCs w:val="24"/>
              </w:rPr>
            </w:pPr>
            <w:r>
              <w:rPr>
                <w:noProof/>
                <w:lang w:eastAsia="pt-BR"/>
              </w:rPr>
              <w:drawing>
                <wp:inline distT="0" distB="0" distL="0" distR="0" wp14:anchorId="13A0FD6E" wp14:editId="7884C405">
                  <wp:extent cx="704850" cy="697104"/>
                  <wp:effectExtent l="0" t="0" r="0" b="825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8736" cy="700947"/>
                          </a:xfrm>
                          <a:prstGeom prst="rect">
                            <a:avLst/>
                          </a:prstGeom>
                        </pic:spPr>
                      </pic:pic>
                    </a:graphicData>
                  </a:graphic>
                </wp:inline>
              </w:drawing>
            </w:r>
          </w:p>
        </w:tc>
        <w:tc>
          <w:tcPr>
            <w:tcW w:w="2126" w:type="dxa"/>
          </w:tcPr>
          <w:p w:rsidR="00D842BF" w:rsidRDefault="00D842BF" w:rsidP="00F87F7C">
            <w:pPr>
              <w:spacing w:line="360" w:lineRule="auto"/>
              <w:jc w:val="both"/>
              <w:rPr>
                <w:rFonts w:asciiTheme="majorHAnsi" w:hAnsiTheme="majorHAnsi" w:cs="Arial"/>
                <w:sz w:val="24"/>
                <w:szCs w:val="24"/>
              </w:rPr>
            </w:pPr>
            <w:r>
              <w:t>Comando manual de alarme</w:t>
            </w:r>
          </w:p>
        </w:tc>
        <w:tc>
          <w:tcPr>
            <w:tcW w:w="3963" w:type="dxa"/>
          </w:tcPr>
          <w:p w:rsidR="00D842BF" w:rsidRPr="00D842BF" w:rsidRDefault="00D842BF" w:rsidP="00F87F7C">
            <w:pPr>
              <w:jc w:val="both"/>
              <w:rPr>
                <w:rFonts w:asciiTheme="majorHAnsi" w:hAnsiTheme="majorHAnsi" w:cs="Arial"/>
                <w:sz w:val="20"/>
                <w:szCs w:val="20"/>
              </w:rPr>
            </w:pPr>
            <w:r w:rsidRPr="00D842BF">
              <w:rPr>
                <w:sz w:val="20"/>
                <w:szCs w:val="20"/>
              </w:rPr>
              <w:t>Ponto de acionamento de alarme de incêndio Deve vir sempre acompanhado de uma mensagem escrita, designando o equipamento acionado por aquele ponto</w:t>
            </w:r>
          </w:p>
        </w:tc>
      </w:tr>
      <w:tr w:rsidR="00D842BF" w:rsidTr="00F87F7C">
        <w:tc>
          <w:tcPr>
            <w:tcW w:w="2405" w:type="dxa"/>
          </w:tcPr>
          <w:p w:rsidR="00D842BF" w:rsidRDefault="00D842BF" w:rsidP="00F87F7C">
            <w:pPr>
              <w:spacing w:line="360" w:lineRule="auto"/>
              <w:jc w:val="center"/>
              <w:rPr>
                <w:rFonts w:asciiTheme="majorHAnsi" w:hAnsiTheme="majorHAnsi" w:cs="Arial"/>
                <w:sz w:val="24"/>
                <w:szCs w:val="24"/>
              </w:rPr>
            </w:pPr>
            <w:r>
              <w:rPr>
                <w:noProof/>
                <w:lang w:eastAsia="pt-BR"/>
              </w:rPr>
              <w:drawing>
                <wp:inline distT="0" distB="0" distL="0" distR="0" wp14:anchorId="70D1BAEA" wp14:editId="7C4E767C">
                  <wp:extent cx="685800" cy="981075"/>
                  <wp:effectExtent l="0" t="0" r="0" b="952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85800" cy="981075"/>
                          </a:xfrm>
                          <a:prstGeom prst="rect">
                            <a:avLst/>
                          </a:prstGeom>
                        </pic:spPr>
                      </pic:pic>
                    </a:graphicData>
                  </a:graphic>
                </wp:inline>
              </w:drawing>
            </w:r>
          </w:p>
        </w:tc>
        <w:tc>
          <w:tcPr>
            <w:tcW w:w="2126" w:type="dxa"/>
          </w:tcPr>
          <w:p w:rsidR="00D842BF" w:rsidRDefault="00D842BF" w:rsidP="00F87F7C">
            <w:pPr>
              <w:spacing w:line="360" w:lineRule="auto"/>
              <w:jc w:val="both"/>
              <w:rPr>
                <w:rFonts w:asciiTheme="majorHAnsi" w:hAnsiTheme="majorHAnsi" w:cs="Arial"/>
                <w:sz w:val="24"/>
                <w:szCs w:val="24"/>
              </w:rPr>
            </w:pPr>
            <w:r>
              <w:t>Comando manual de bomba de incêndio</w:t>
            </w:r>
          </w:p>
        </w:tc>
        <w:tc>
          <w:tcPr>
            <w:tcW w:w="3963" w:type="dxa"/>
          </w:tcPr>
          <w:p w:rsidR="00D842BF" w:rsidRPr="006A3B40" w:rsidRDefault="00D842BF" w:rsidP="00D842BF">
            <w:pPr>
              <w:jc w:val="both"/>
              <w:rPr>
                <w:rFonts w:asciiTheme="majorHAnsi" w:hAnsiTheme="majorHAnsi" w:cs="Arial"/>
                <w:sz w:val="20"/>
                <w:szCs w:val="20"/>
              </w:rPr>
            </w:pPr>
            <w:r w:rsidRPr="00D842BF">
              <w:rPr>
                <w:sz w:val="20"/>
                <w:szCs w:val="20"/>
              </w:rPr>
              <w:t>Ponto de acionamento de bomba de incêndio Deve vir sempre</w:t>
            </w:r>
            <w:r>
              <w:rPr>
                <w:sz w:val="20"/>
                <w:szCs w:val="20"/>
              </w:rPr>
              <w:t xml:space="preserve"> </w:t>
            </w:r>
            <w:r w:rsidRPr="00D842BF">
              <w:rPr>
                <w:sz w:val="20"/>
                <w:szCs w:val="20"/>
              </w:rPr>
              <w:t>acompanhado de uma mensagem escrita, designando o equipamento</w:t>
            </w:r>
            <w:r>
              <w:rPr>
                <w:sz w:val="20"/>
                <w:szCs w:val="20"/>
              </w:rPr>
              <w:t xml:space="preserve"> </w:t>
            </w:r>
            <w:r w:rsidRPr="00D842BF">
              <w:rPr>
                <w:sz w:val="20"/>
                <w:szCs w:val="20"/>
              </w:rPr>
              <w:t>acionado por aquele ponto</w:t>
            </w:r>
          </w:p>
        </w:tc>
      </w:tr>
      <w:tr w:rsidR="00D842BF" w:rsidTr="00F87F7C">
        <w:tc>
          <w:tcPr>
            <w:tcW w:w="2405" w:type="dxa"/>
          </w:tcPr>
          <w:p w:rsidR="00D842BF" w:rsidRDefault="00D842BF" w:rsidP="00F87F7C">
            <w:pPr>
              <w:spacing w:line="360" w:lineRule="auto"/>
              <w:jc w:val="center"/>
              <w:rPr>
                <w:rFonts w:asciiTheme="majorHAnsi" w:hAnsiTheme="majorHAnsi" w:cs="Arial"/>
                <w:sz w:val="24"/>
                <w:szCs w:val="24"/>
              </w:rPr>
            </w:pPr>
            <w:r>
              <w:rPr>
                <w:noProof/>
                <w:lang w:eastAsia="pt-BR"/>
              </w:rPr>
              <w:drawing>
                <wp:inline distT="0" distB="0" distL="0" distR="0" wp14:anchorId="0828DA5A" wp14:editId="0F6290A6">
                  <wp:extent cx="819150" cy="800100"/>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19150" cy="800100"/>
                          </a:xfrm>
                          <a:prstGeom prst="rect">
                            <a:avLst/>
                          </a:prstGeom>
                        </pic:spPr>
                      </pic:pic>
                    </a:graphicData>
                  </a:graphic>
                </wp:inline>
              </w:drawing>
            </w:r>
          </w:p>
        </w:tc>
        <w:tc>
          <w:tcPr>
            <w:tcW w:w="2126" w:type="dxa"/>
          </w:tcPr>
          <w:p w:rsidR="00D842BF" w:rsidRDefault="00D842BF" w:rsidP="00F87F7C">
            <w:pPr>
              <w:spacing w:line="360" w:lineRule="auto"/>
              <w:jc w:val="both"/>
              <w:rPr>
                <w:rFonts w:asciiTheme="majorHAnsi" w:hAnsiTheme="majorHAnsi" w:cs="Arial"/>
                <w:sz w:val="24"/>
                <w:szCs w:val="24"/>
              </w:rPr>
            </w:pPr>
            <w:r>
              <w:t>Extintor de incêndio</w:t>
            </w:r>
          </w:p>
        </w:tc>
        <w:tc>
          <w:tcPr>
            <w:tcW w:w="3963" w:type="dxa"/>
          </w:tcPr>
          <w:p w:rsidR="00D842BF" w:rsidRPr="00D842BF" w:rsidRDefault="00D842BF" w:rsidP="00F87F7C">
            <w:pPr>
              <w:jc w:val="both"/>
              <w:rPr>
                <w:rFonts w:asciiTheme="majorHAnsi" w:hAnsiTheme="majorHAnsi" w:cs="Arial"/>
                <w:sz w:val="20"/>
                <w:szCs w:val="20"/>
              </w:rPr>
            </w:pPr>
            <w:r w:rsidRPr="00D842BF">
              <w:rPr>
                <w:sz w:val="20"/>
                <w:szCs w:val="20"/>
              </w:rPr>
              <w:t>Indicação de localização dos extintores de incêndio</w:t>
            </w:r>
          </w:p>
        </w:tc>
      </w:tr>
      <w:tr w:rsidR="00D842BF" w:rsidTr="00F87F7C">
        <w:tc>
          <w:tcPr>
            <w:tcW w:w="2405" w:type="dxa"/>
          </w:tcPr>
          <w:p w:rsidR="00D842BF" w:rsidRDefault="00D842BF" w:rsidP="00F87F7C">
            <w:pPr>
              <w:spacing w:line="360" w:lineRule="auto"/>
              <w:jc w:val="center"/>
              <w:rPr>
                <w:rFonts w:asciiTheme="majorHAnsi" w:hAnsiTheme="majorHAnsi" w:cs="Arial"/>
                <w:sz w:val="24"/>
                <w:szCs w:val="24"/>
              </w:rPr>
            </w:pPr>
            <w:r>
              <w:rPr>
                <w:noProof/>
                <w:lang w:eastAsia="pt-BR"/>
              </w:rPr>
              <w:drawing>
                <wp:inline distT="0" distB="0" distL="0" distR="0" wp14:anchorId="6BB892FC" wp14:editId="3E2E9661">
                  <wp:extent cx="790575" cy="752475"/>
                  <wp:effectExtent l="0" t="0" r="9525" b="9525"/>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90575" cy="752475"/>
                          </a:xfrm>
                          <a:prstGeom prst="rect">
                            <a:avLst/>
                          </a:prstGeom>
                        </pic:spPr>
                      </pic:pic>
                    </a:graphicData>
                  </a:graphic>
                </wp:inline>
              </w:drawing>
            </w:r>
          </w:p>
        </w:tc>
        <w:tc>
          <w:tcPr>
            <w:tcW w:w="2126" w:type="dxa"/>
          </w:tcPr>
          <w:p w:rsidR="00D842BF" w:rsidRDefault="00D842BF" w:rsidP="00F87F7C">
            <w:pPr>
              <w:spacing w:line="360" w:lineRule="auto"/>
              <w:jc w:val="both"/>
            </w:pPr>
            <w:r>
              <w:t>Abrigo de mangueira e hidrante</w:t>
            </w:r>
          </w:p>
        </w:tc>
        <w:tc>
          <w:tcPr>
            <w:tcW w:w="3963" w:type="dxa"/>
          </w:tcPr>
          <w:p w:rsidR="00D842BF" w:rsidRPr="00D842BF" w:rsidRDefault="00D842BF" w:rsidP="00F87F7C">
            <w:pPr>
              <w:jc w:val="both"/>
              <w:rPr>
                <w:sz w:val="20"/>
                <w:szCs w:val="20"/>
              </w:rPr>
            </w:pPr>
            <w:r w:rsidRPr="00D842BF">
              <w:rPr>
                <w:sz w:val="20"/>
                <w:szCs w:val="20"/>
              </w:rPr>
              <w:t>Indicação do abrigo da mangueira de incêndio com ou sem hidrante no seu interior</w:t>
            </w:r>
          </w:p>
        </w:tc>
      </w:tr>
      <w:tr w:rsidR="00D842BF" w:rsidTr="00F87F7C">
        <w:tc>
          <w:tcPr>
            <w:tcW w:w="2405" w:type="dxa"/>
          </w:tcPr>
          <w:p w:rsidR="00D842BF" w:rsidRDefault="00D842BF" w:rsidP="00F87F7C">
            <w:pPr>
              <w:spacing w:line="360" w:lineRule="auto"/>
              <w:jc w:val="center"/>
              <w:rPr>
                <w:rFonts w:asciiTheme="majorHAnsi" w:hAnsiTheme="majorHAnsi" w:cs="Arial"/>
                <w:sz w:val="24"/>
                <w:szCs w:val="24"/>
              </w:rPr>
            </w:pPr>
            <w:r>
              <w:rPr>
                <w:noProof/>
                <w:lang w:eastAsia="pt-BR"/>
              </w:rPr>
              <w:drawing>
                <wp:inline distT="0" distB="0" distL="0" distR="0" wp14:anchorId="5944AD7D" wp14:editId="33766FC0">
                  <wp:extent cx="828675" cy="838200"/>
                  <wp:effectExtent l="0" t="0" r="9525"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28675" cy="838200"/>
                          </a:xfrm>
                          <a:prstGeom prst="rect">
                            <a:avLst/>
                          </a:prstGeom>
                        </pic:spPr>
                      </pic:pic>
                    </a:graphicData>
                  </a:graphic>
                </wp:inline>
              </w:drawing>
            </w:r>
          </w:p>
        </w:tc>
        <w:tc>
          <w:tcPr>
            <w:tcW w:w="2126" w:type="dxa"/>
          </w:tcPr>
          <w:p w:rsidR="00D842BF" w:rsidRDefault="00D842BF" w:rsidP="00F87F7C">
            <w:pPr>
              <w:spacing w:line="360" w:lineRule="auto"/>
              <w:jc w:val="both"/>
            </w:pPr>
            <w:r>
              <w:t>Hidrante de Incêndio</w:t>
            </w:r>
          </w:p>
        </w:tc>
        <w:tc>
          <w:tcPr>
            <w:tcW w:w="3963" w:type="dxa"/>
          </w:tcPr>
          <w:p w:rsidR="00D842BF" w:rsidRPr="00D842BF" w:rsidRDefault="00D842BF" w:rsidP="00F87F7C">
            <w:pPr>
              <w:jc w:val="both"/>
              <w:rPr>
                <w:sz w:val="20"/>
                <w:szCs w:val="20"/>
              </w:rPr>
            </w:pPr>
            <w:r w:rsidRPr="00D842BF">
              <w:rPr>
                <w:sz w:val="20"/>
                <w:szCs w:val="20"/>
              </w:rPr>
              <w:t>Indicação da localização do hidrante quando instalado fora do abrigo de mangueiras</w:t>
            </w:r>
          </w:p>
        </w:tc>
      </w:tr>
    </w:tbl>
    <w:p w:rsidR="00D842BF" w:rsidRPr="00D842BF" w:rsidRDefault="00D842BF" w:rsidP="001968AC">
      <w:pPr>
        <w:spacing w:after="0" w:line="360" w:lineRule="auto"/>
        <w:jc w:val="both"/>
        <w:rPr>
          <w:sz w:val="24"/>
          <w:szCs w:val="24"/>
        </w:rPr>
      </w:pPr>
    </w:p>
    <w:p w:rsidR="006A3B40" w:rsidRPr="00D842BF" w:rsidRDefault="00D842BF" w:rsidP="001968AC">
      <w:pPr>
        <w:spacing w:after="0" w:line="360" w:lineRule="auto"/>
        <w:jc w:val="both"/>
        <w:rPr>
          <w:rFonts w:asciiTheme="majorHAnsi" w:hAnsiTheme="majorHAnsi" w:cs="Arial"/>
          <w:sz w:val="24"/>
          <w:szCs w:val="24"/>
        </w:rPr>
      </w:pPr>
      <w:r w:rsidRPr="00D842BF">
        <w:rPr>
          <w:sz w:val="24"/>
          <w:szCs w:val="24"/>
        </w:rPr>
        <w:t>A sinalização apropriada deve ser instalada em local visível e a uma altura mínima de 1,80 m, medida do piso acabado à base da sinalização. A mesma sinalização deve estar distribuída em mais de um ponto dentro da área de risco, de modo que pelo menos uma delas seja claramente visível de qualquer posição dentro da área, e devem estar distanciadas entre si em no máximo 15,0 m.</w:t>
      </w:r>
    </w:p>
    <w:p w:rsidR="006A3B40" w:rsidRPr="00D842BF" w:rsidRDefault="006A3B40" w:rsidP="001968AC">
      <w:pPr>
        <w:spacing w:after="0" w:line="360" w:lineRule="auto"/>
        <w:jc w:val="both"/>
        <w:rPr>
          <w:rFonts w:asciiTheme="majorHAnsi" w:hAnsiTheme="majorHAnsi" w:cs="Arial"/>
          <w:sz w:val="24"/>
          <w:szCs w:val="24"/>
        </w:rPr>
      </w:pPr>
    </w:p>
    <w:p w:rsidR="00D842BF" w:rsidRPr="00D842BF" w:rsidRDefault="00D842BF" w:rsidP="001968AC">
      <w:pPr>
        <w:spacing w:after="0" w:line="360" w:lineRule="auto"/>
        <w:jc w:val="both"/>
        <w:rPr>
          <w:b/>
          <w:sz w:val="24"/>
          <w:szCs w:val="24"/>
        </w:rPr>
      </w:pPr>
      <w:r w:rsidRPr="00D842BF">
        <w:rPr>
          <w:b/>
          <w:sz w:val="24"/>
          <w:szCs w:val="24"/>
        </w:rPr>
        <w:t>FORMAS GEOMÉTRICAS E DIMENSÕES PARA A SINALIZAÇÃO DE EMERGÊNCIA</w:t>
      </w:r>
    </w:p>
    <w:p w:rsidR="00D842BF" w:rsidRPr="00D842BF" w:rsidRDefault="00D842BF" w:rsidP="001968AC">
      <w:pPr>
        <w:spacing w:after="0" w:line="360" w:lineRule="auto"/>
        <w:jc w:val="both"/>
        <w:rPr>
          <w:rFonts w:asciiTheme="majorHAnsi" w:hAnsiTheme="majorHAnsi" w:cs="Arial"/>
          <w:sz w:val="24"/>
          <w:szCs w:val="24"/>
        </w:rPr>
      </w:pPr>
      <w:r w:rsidRPr="00D842BF">
        <w:rPr>
          <w:sz w:val="24"/>
          <w:szCs w:val="24"/>
        </w:rPr>
        <w:t>As dimensões da sinalização de emergência estão indicadas nas pranchas em conformidade com a tabela abaixo</w:t>
      </w:r>
    </w:p>
    <w:p w:rsidR="006A3B40" w:rsidRDefault="006A3B40" w:rsidP="001968AC">
      <w:pPr>
        <w:spacing w:after="0" w:line="360" w:lineRule="auto"/>
        <w:jc w:val="both"/>
        <w:rPr>
          <w:rFonts w:asciiTheme="majorHAnsi" w:hAnsiTheme="majorHAnsi" w:cs="Arial"/>
          <w:sz w:val="24"/>
          <w:szCs w:val="24"/>
        </w:rPr>
      </w:pPr>
    </w:p>
    <w:tbl>
      <w:tblPr>
        <w:tblStyle w:val="Tabelacomgrade"/>
        <w:tblW w:w="0" w:type="auto"/>
        <w:tblLayout w:type="fixed"/>
        <w:tblLook w:val="04A0" w:firstRow="1" w:lastRow="0" w:firstColumn="1" w:lastColumn="0" w:noHBand="0" w:noVBand="1"/>
      </w:tblPr>
      <w:tblGrid>
        <w:gridCol w:w="1129"/>
        <w:gridCol w:w="1276"/>
        <w:gridCol w:w="851"/>
        <w:gridCol w:w="567"/>
        <w:gridCol w:w="425"/>
        <w:gridCol w:w="425"/>
        <w:gridCol w:w="425"/>
        <w:gridCol w:w="426"/>
        <w:gridCol w:w="425"/>
        <w:gridCol w:w="425"/>
        <w:gridCol w:w="425"/>
        <w:gridCol w:w="426"/>
        <w:gridCol w:w="425"/>
        <w:gridCol w:w="425"/>
        <w:gridCol w:w="419"/>
      </w:tblGrid>
      <w:tr w:rsidR="00F87F7C" w:rsidTr="00F87F7C">
        <w:tc>
          <w:tcPr>
            <w:tcW w:w="1129" w:type="dxa"/>
            <w:vMerge w:val="restart"/>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Pr>
                <w:rFonts w:asciiTheme="majorHAnsi" w:hAnsiTheme="majorHAnsi" w:cs="Arial"/>
                <w:b/>
                <w:sz w:val="20"/>
                <w:szCs w:val="20"/>
              </w:rPr>
              <w:t>Sinal</w:t>
            </w:r>
          </w:p>
        </w:tc>
        <w:tc>
          <w:tcPr>
            <w:tcW w:w="1276" w:type="dxa"/>
            <w:vMerge w:val="restart"/>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Pr>
                <w:rFonts w:asciiTheme="majorHAnsi" w:hAnsiTheme="majorHAnsi" w:cs="Arial"/>
                <w:b/>
                <w:sz w:val="20"/>
                <w:szCs w:val="20"/>
              </w:rPr>
              <w:t>Forma Geométrica</w:t>
            </w:r>
          </w:p>
        </w:tc>
        <w:tc>
          <w:tcPr>
            <w:tcW w:w="851" w:type="dxa"/>
            <w:vMerge w:val="restart"/>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Pr>
                <w:rFonts w:asciiTheme="majorHAnsi" w:hAnsiTheme="majorHAnsi" w:cs="Arial"/>
                <w:b/>
                <w:sz w:val="20"/>
                <w:szCs w:val="20"/>
              </w:rPr>
              <w:t>Cota (mm)</w:t>
            </w:r>
          </w:p>
        </w:tc>
        <w:tc>
          <w:tcPr>
            <w:tcW w:w="5238" w:type="dxa"/>
            <w:gridSpan w:val="12"/>
            <w:shd w:val="clear" w:color="auto" w:fill="BFBFBF" w:themeFill="background1" w:themeFillShade="BF"/>
          </w:tcPr>
          <w:p w:rsidR="00D842BF" w:rsidRPr="00D842BF" w:rsidRDefault="00F87F7C" w:rsidP="00D842BF">
            <w:pPr>
              <w:jc w:val="center"/>
              <w:rPr>
                <w:rFonts w:asciiTheme="majorHAnsi" w:hAnsiTheme="majorHAnsi" w:cs="Arial"/>
                <w:b/>
                <w:sz w:val="20"/>
                <w:szCs w:val="20"/>
              </w:rPr>
            </w:pPr>
            <w:r>
              <w:rPr>
                <w:rFonts w:asciiTheme="majorHAnsi" w:hAnsiTheme="majorHAnsi" w:cs="Arial"/>
                <w:b/>
                <w:sz w:val="20"/>
                <w:szCs w:val="20"/>
              </w:rPr>
              <w:t>Distância máxima de visibilidade (m)</w:t>
            </w:r>
          </w:p>
        </w:tc>
      </w:tr>
      <w:tr w:rsidR="00F87F7C" w:rsidTr="00F87F7C">
        <w:tc>
          <w:tcPr>
            <w:tcW w:w="1129" w:type="dxa"/>
            <w:vMerge/>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p>
        </w:tc>
        <w:tc>
          <w:tcPr>
            <w:tcW w:w="1276" w:type="dxa"/>
            <w:vMerge/>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p>
        </w:tc>
        <w:tc>
          <w:tcPr>
            <w:tcW w:w="851" w:type="dxa"/>
            <w:vMerge/>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p>
        </w:tc>
        <w:tc>
          <w:tcPr>
            <w:tcW w:w="567"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4</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6</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8</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10</w:t>
            </w:r>
          </w:p>
        </w:tc>
        <w:tc>
          <w:tcPr>
            <w:tcW w:w="426"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12</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14</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16</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18</w:t>
            </w:r>
          </w:p>
        </w:tc>
        <w:tc>
          <w:tcPr>
            <w:tcW w:w="426"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20</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24</w:t>
            </w:r>
          </w:p>
        </w:tc>
        <w:tc>
          <w:tcPr>
            <w:tcW w:w="425"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28</w:t>
            </w:r>
          </w:p>
        </w:tc>
        <w:tc>
          <w:tcPr>
            <w:tcW w:w="419" w:type="dxa"/>
            <w:shd w:val="clear" w:color="auto" w:fill="BFBFBF" w:themeFill="background1" w:themeFillShade="BF"/>
          </w:tcPr>
          <w:p w:rsidR="00D842BF" w:rsidRPr="00D842BF" w:rsidRDefault="00D842BF" w:rsidP="00D842BF">
            <w:pPr>
              <w:jc w:val="center"/>
              <w:rPr>
                <w:rFonts w:asciiTheme="majorHAnsi" w:hAnsiTheme="majorHAnsi" w:cs="Arial"/>
                <w:b/>
                <w:sz w:val="20"/>
                <w:szCs w:val="20"/>
              </w:rPr>
            </w:pPr>
            <w:r w:rsidRPr="00D842BF">
              <w:rPr>
                <w:rFonts w:asciiTheme="majorHAnsi" w:hAnsiTheme="majorHAnsi" w:cs="Arial"/>
                <w:b/>
                <w:sz w:val="20"/>
                <w:szCs w:val="20"/>
              </w:rPr>
              <w:t>30</w:t>
            </w:r>
          </w:p>
        </w:tc>
      </w:tr>
      <w:tr w:rsidR="00F87F7C" w:rsidTr="00F87F7C">
        <w:tc>
          <w:tcPr>
            <w:tcW w:w="1129" w:type="dxa"/>
            <w:vAlign w:val="center"/>
          </w:tcPr>
          <w:p w:rsidR="00D842BF" w:rsidRPr="00F87F7C" w:rsidRDefault="00F87F7C" w:rsidP="00F87F7C">
            <w:pPr>
              <w:spacing w:line="360" w:lineRule="auto"/>
              <w:ind w:left="-120" w:right="-106"/>
              <w:jc w:val="center"/>
              <w:rPr>
                <w:rFonts w:asciiTheme="majorHAnsi" w:hAnsiTheme="majorHAnsi" w:cs="Arial"/>
                <w:sz w:val="18"/>
                <w:szCs w:val="18"/>
              </w:rPr>
            </w:pPr>
            <w:r w:rsidRPr="00F87F7C">
              <w:rPr>
                <w:rFonts w:asciiTheme="majorHAnsi" w:hAnsiTheme="majorHAnsi" w:cs="Arial"/>
                <w:sz w:val="18"/>
                <w:szCs w:val="18"/>
              </w:rPr>
              <w:t>Proibição</w:t>
            </w:r>
          </w:p>
        </w:tc>
        <w:tc>
          <w:tcPr>
            <w:tcW w:w="1276" w:type="dxa"/>
            <w:vAlign w:val="center"/>
          </w:tcPr>
          <w:p w:rsidR="00D842BF" w:rsidRPr="00F87F7C" w:rsidRDefault="00F87F7C" w:rsidP="00F87F7C">
            <w:pPr>
              <w:spacing w:line="360" w:lineRule="auto"/>
              <w:jc w:val="center"/>
              <w:rPr>
                <w:rFonts w:asciiTheme="majorHAnsi" w:hAnsiTheme="majorHAnsi" w:cs="Arial"/>
                <w:sz w:val="20"/>
                <w:szCs w:val="20"/>
              </w:rPr>
            </w:pPr>
            <w:r>
              <w:rPr>
                <w:noProof/>
                <w:lang w:eastAsia="pt-BR"/>
              </w:rPr>
              <w:drawing>
                <wp:inline distT="0" distB="0" distL="0" distR="0" wp14:anchorId="103E43CA" wp14:editId="4B9766D7">
                  <wp:extent cx="492760" cy="527050"/>
                  <wp:effectExtent l="0" t="0" r="2540" b="635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2760" cy="527050"/>
                          </a:xfrm>
                          <a:prstGeom prst="rect">
                            <a:avLst/>
                          </a:prstGeom>
                        </pic:spPr>
                      </pic:pic>
                    </a:graphicData>
                  </a:graphic>
                </wp:inline>
              </w:drawing>
            </w:r>
          </w:p>
        </w:tc>
        <w:tc>
          <w:tcPr>
            <w:tcW w:w="851" w:type="dxa"/>
            <w:vAlign w:val="center"/>
          </w:tcPr>
          <w:p w:rsidR="00D842BF" w:rsidRPr="00F87F7C" w:rsidRDefault="00F87F7C" w:rsidP="00F87F7C">
            <w:pPr>
              <w:jc w:val="center"/>
              <w:rPr>
                <w:rFonts w:asciiTheme="majorHAnsi" w:hAnsiTheme="majorHAnsi" w:cs="Arial"/>
                <w:sz w:val="20"/>
                <w:szCs w:val="20"/>
              </w:rPr>
            </w:pPr>
            <w:r w:rsidRPr="00F87F7C">
              <w:rPr>
                <w:rFonts w:asciiTheme="majorHAnsi" w:hAnsiTheme="majorHAnsi" w:cs="Arial"/>
                <w:sz w:val="20"/>
                <w:szCs w:val="20"/>
              </w:rPr>
              <w:t>D</w:t>
            </w:r>
          </w:p>
        </w:tc>
        <w:tc>
          <w:tcPr>
            <w:tcW w:w="567"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101</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151</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202</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525</w:t>
            </w:r>
          </w:p>
        </w:tc>
        <w:tc>
          <w:tcPr>
            <w:tcW w:w="426"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303</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353</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404</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454</w:t>
            </w:r>
          </w:p>
        </w:tc>
        <w:tc>
          <w:tcPr>
            <w:tcW w:w="426"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506</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606</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706</w:t>
            </w:r>
          </w:p>
        </w:tc>
        <w:tc>
          <w:tcPr>
            <w:tcW w:w="419"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757</w:t>
            </w:r>
          </w:p>
        </w:tc>
      </w:tr>
      <w:tr w:rsidR="00F87F7C" w:rsidTr="00F87F7C">
        <w:tc>
          <w:tcPr>
            <w:tcW w:w="1129" w:type="dxa"/>
            <w:vAlign w:val="center"/>
          </w:tcPr>
          <w:p w:rsidR="00D842BF" w:rsidRPr="00F87F7C" w:rsidRDefault="00F87F7C" w:rsidP="00F87F7C">
            <w:pPr>
              <w:spacing w:line="360" w:lineRule="auto"/>
              <w:ind w:left="-120" w:right="-106"/>
              <w:jc w:val="center"/>
              <w:rPr>
                <w:rFonts w:asciiTheme="majorHAnsi" w:hAnsiTheme="majorHAnsi" w:cs="Arial"/>
                <w:sz w:val="18"/>
                <w:szCs w:val="18"/>
              </w:rPr>
            </w:pPr>
            <w:r w:rsidRPr="00F87F7C">
              <w:rPr>
                <w:rFonts w:asciiTheme="majorHAnsi" w:hAnsiTheme="majorHAnsi" w:cs="Arial"/>
                <w:sz w:val="18"/>
                <w:szCs w:val="18"/>
              </w:rPr>
              <w:t>Alerta</w:t>
            </w:r>
          </w:p>
        </w:tc>
        <w:tc>
          <w:tcPr>
            <w:tcW w:w="1276" w:type="dxa"/>
            <w:vAlign w:val="center"/>
          </w:tcPr>
          <w:p w:rsidR="00D842BF" w:rsidRPr="00F87F7C" w:rsidRDefault="00F87F7C" w:rsidP="00F87F7C">
            <w:pPr>
              <w:spacing w:line="360" w:lineRule="auto"/>
              <w:jc w:val="center"/>
              <w:rPr>
                <w:rFonts w:asciiTheme="majorHAnsi" w:hAnsiTheme="majorHAnsi" w:cs="Arial"/>
                <w:sz w:val="20"/>
                <w:szCs w:val="20"/>
              </w:rPr>
            </w:pPr>
            <w:r>
              <w:rPr>
                <w:noProof/>
                <w:lang w:eastAsia="pt-BR"/>
              </w:rPr>
              <w:drawing>
                <wp:inline distT="0" distB="0" distL="0" distR="0" wp14:anchorId="2EB91BFE" wp14:editId="552597CD">
                  <wp:extent cx="492760" cy="517525"/>
                  <wp:effectExtent l="0" t="0" r="254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2760" cy="517525"/>
                          </a:xfrm>
                          <a:prstGeom prst="rect">
                            <a:avLst/>
                          </a:prstGeom>
                        </pic:spPr>
                      </pic:pic>
                    </a:graphicData>
                  </a:graphic>
                </wp:inline>
              </w:drawing>
            </w:r>
          </w:p>
        </w:tc>
        <w:tc>
          <w:tcPr>
            <w:tcW w:w="851" w:type="dxa"/>
            <w:vAlign w:val="center"/>
          </w:tcPr>
          <w:p w:rsidR="00D842BF" w:rsidRPr="00F87F7C" w:rsidRDefault="00F87F7C" w:rsidP="00F87F7C">
            <w:pPr>
              <w:jc w:val="center"/>
              <w:rPr>
                <w:rFonts w:asciiTheme="majorHAnsi" w:hAnsiTheme="majorHAnsi" w:cs="Arial"/>
                <w:sz w:val="20"/>
                <w:szCs w:val="20"/>
              </w:rPr>
            </w:pPr>
            <w:r w:rsidRPr="00F87F7C">
              <w:rPr>
                <w:rFonts w:asciiTheme="majorHAnsi" w:hAnsiTheme="majorHAnsi" w:cs="Arial"/>
                <w:sz w:val="20"/>
                <w:szCs w:val="20"/>
              </w:rPr>
              <w:t>L</w:t>
            </w:r>
          </w:p>
        </w:tc>
        <w:tc>
          <w:tcPr>
            <w:tcW w:w="567"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136</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204</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272</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340</w:t>
            </w:r>
          </w:p>
        </w:tc>
        <w:tc>
          <w:tcPr>
            <w:tcW w:w="426"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408</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476</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544</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612</w:t>
            </w:r>
          </w:p>
        </w:tc>
        <w:tc>
          <w:tcPr>
            <w:tcW w:w="426"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680</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816</w:t>
            </w:r>
          </w:p>
        </w:tc>
        <w:tc>
          <w:tcPr>
            <w:tcW w:w="425"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951</w:t>
            </w:r>
          </w:p>
        </w:tc>
        <w:tc>
          <w:tcPr>
            <w:tcW w:w="419" w:type="dxa"/>
            <w:vAlign w:val="center"/>
          </w:tcPr>
          <w:p w:rsidR="00D842BF"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1019</w:t>
            </w:r>
          </w:p>
        </w:tc>
      </w:tr>
      <w:tr w:rsidR="00F87F7C" w:rsidTr="00F87F7C">
        <w:tc>
          <w:tcPr>
            <w:tcW w:w="1129" w:type="dxa"/>
            <w:vMerge w:val="restart"/>
            <w:vAlign w:val="center"/>
          </w:tcPr>
          <w:p w:rsidR="00F87F7C" w:rsidRPr="00F87F7C" w:rsidRDefault="00F87F7C" w:rsidP="00F87F7C">
            <w:pPr>
              <w:spacing w:line="360" w:lineRule="auto"/>
              <w:ind w:left="-120" w:right="-106"/>
              <w:jc w:val="center"/>
              <w:rPr>
                <w:rFonts w:asciiTheme="majorHAnsi" w:hAnsiTheme="majorHAnsi" w:cs="Arial"/>
                <w:sz w:val="18"/>
                <w:szCs w:val="18"/>
              </w:rPr>
            </w:pPr>
            <w:r w:rsidRPr="00F87F7C">
              <w:rPr>
                <w:rFonts w:asciiTheme="majorHAnsi" w:hAnsiTheme="majorHAnsi" w:cs="Arial"/>
                <w:sz w:val="18"/>
                <w:szCs w:val="18"/>
              </w:rPr>
              <w:t>Orientação, salvamento equipamento</w:t>
            </w:r>
          </w:p>
        </w:tc>
        <w:tc>
          <w:tcPr>
            <w:tcW w:w="1276" w:type="dxa"/>
            <w:vAlign w:val="center"/>
          </w:tcPr>
          <w:p w:rsidR="00F87F7C" w:rsidRPr="00F87F7C" w:rsidRDefault="00F87F7C" w:rsidP="00F87F7C">
            <w:pPr>
              <w:spacing w:line="360" w:lineRule="auto"/>
              <w:jc w:val="center"/>
              <w:rPr>
                <w:rFonts w:asciiTheme="majorHAnsi" w:hAnsiTheme="majorHAnsi" w:cs="Arial"/>
                <w:sz w:val="20"/>
                <w:szCs w:val="20"/>
              </w:rPr>
            </w:pPr>
            <w:r>
              <w:rPr>
                <w:noProof/>
                <w:lang w:eastAsia="pt-BR"/>
              </w:rPr>
              <w:drawing>
                <wp:inline distT="0" distB="0" distL="0" distR="0" wp14:anchorId="22908379" wp14:editId="34FA1ED2">
                  <wp:extent cx="492760" cy="589280"/>
                  <wp:effectExtent l="0" t="0" r="2540" b="127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2760" cy="589280"/>
                          </a:xfrm>
                          <a:prstGeom prst="rect">
                            <a:avLst/>
                          </a:prstGeom>
                        </pic:spPr>
                      </pic:pic>
                    </a:graphicData>
                  </a:graphic>
                </wp:inline>
              </w:drawing>
            </w:r>
          </w:p>
        </w:tc>
        <w:tc>
          <w:tcPr>
            <w:tcW w:w="851" w:type="dxa"/>
            <w:vAlign w:val="center"/>
          </w:tcPr>
          <w:p w:rsidR="00F87F7C" w:rsidRPr="00F87F7C" w:rsidRDefault="00F87F7C" w:rsidP="00F87F7C">
            <w:pPr>
              <w:jc w:val="center"/>
              <w:rPr>
                <w:rFonts w:asciiTheme="majorHAnsi" w:hAnsiTheme="majorHAnsi" w:cs="Arial"/>
                <w:sz w:val="20"/>
                <w:szCs w:val="20"/>
              </w:rPr>
            </w:pPr>
            <w:r w:rsidRPr="00F87F7C">
              <w:rPr>
                <w:rFonts w:asciiTheme="majorHAnsi" w:hAnsiTheme="majorHAnsi" w:cs="Arial"/>
                <w:sz w:val="20"/>
                <w:szCs w:val="20"/>
              </w:rPr>
              <w:t>L</w:t>
            </w:r>
          </w:p>
        </w:tc>
        <w:tc>
          <w:tcPr>
            <w:tcW w:w="567"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89</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134</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179</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224</w:t>
            </w:r>
          </w:p>
        </w:tc>
        <w:tc>
          <w:tcPr>
            <w:tcW w:w="426"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268</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313</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358</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402</w:t>
            </w:r>
          </w:p>
        </w:tc>
        <w:tc>
          <w:tcPr>
            <w:tcW w:w="426"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447</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537</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626</w:t>
            </w:r>
          </w:p>
        </w:tc>
        <w:tc>
          <w:tcPr>
            <w:tcW w:w="419"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671</w:t>
            </w:r>
          </w:p>
        </w:tc>
      </w:tr>
      <w:tr w:rsidR="00F87F7C" w:rsidTr="00F87F7C">
        <w:tc>
          <w:tcPr>
            <w:tcW w:w="1129" w:type="dxa"/>
            <w:vMerge/>
            <w:vAlign w:val="center"/>
          </w:tcPr>
          <w:p w:rsidR="00F87F7C" w:rsidRPr="00F87F7C" w:rsidRDefault="00F87F7C" w:rsidP="00F87F7C">
            <w:pPr>
              <w:spacing w:line="360" w:lineRule="auto"/>
              <w:jc w:val="center"/>
              <w:rPr>
                <w:rFonts w:asciiTheme="majorHAnsi" w:hAnsiTheme="majorHAnsi" w:cs="Arial"/>
                <w:sz w:val="20"/>
                <w:szCs w:val="20"/>
              </w:rPr>
            </w:pPr>
          </w:p>
        </w:tc>
        <w:tc>
          <w:tcPr>
            <w:tcW w:w="1276" w:type="dxa"/>
            <w:vAlign w:val="center"/>
          </w:tcPr>
          <w:p w:rsidR="00F87F7C" w:rsidRPr="00F87F7C" w:rsidRDefault="00F87F7C" w:rsidP="00F87F7C">
            <w:pPr>
              <w:spacing w:line="360" w:lineRule="auto"/>
              <w:jc w:val="center"/>
              <w:rPr>
                <w:rFonts w:asciiTheme="majorHAnsi" w:hAnsiTheme="majorHAnsi" w:cs="Arial"/>
                <w:sz w:val="20"/>
                <w:szCs w:val="20"/>
              </w:rPr>
            </w:pPr>
            <w:r>
              <w:rPr>
                <w:noProof/>
                <w:lang w:eastAsia="pt-BR"/>
              </w:rPr>
              <w:drawing>
                <wp:inline distT="0" distB="0" distL="0" distR="0" wp14:anchorId="3789C208" wp14:editId="6CFE06C4">
                  <wp:extent cx="561975" cy="424378"/>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4227" cy="426079"/>
                          </a:xfrm>
                          <a:prstGeom prst="rect">
                            <a:avLst/>
                          </a:prstGeom>
                        </pic:spPr>
                      </pic:pic>
                    </a:graphicData>
                  </a:graphic>
                </wp:inline>
              </w:drawing>
            </w:r>
          </w:p>
        </w:tc>
        <w:tc>
          <w:tcPr>
            <w:tcW w:w="851" w:type="dxa"/>
            <w:vAlign w:val="center"/>
          </w:tcPr>
          <w:p w:rsidR="00F87F7C" w:rsidRPr="00F87F7C" w:rsidRDefault="00F87F7C" w:rsidP="00F87F7C">
            <w:pPr>
              <w:jc w:val="center"/>
              <w:rPr>
                <w:rFonts w:asciiTheme="majorHAnsi" w:hAnsiTheme="majorHAnsi" w:cs="Arial"/>
                <w:sz w:val="18"/>
                <w:szCs w:val="18"/>
              </w:rPr>
            </w:pPr>
            <w:r w:rsidRPr="00F87F7C">
              <w:rPr>
                <w:rFonts w:asciiTheme="majorHAnsi" w:hAnsiTheme="majorHAnsi" w:cs="Arial"/>
                <w:sz w:val="18"/>
                <w:szCs w:val="18"/>
              </w:rPr>
              <w:t>H (L=2H)</w:t>
            </w:r>
          </w:p>
        </w:tc>
        <w:tc>
          <w:tcPr>
            <w:tcW w:w="567"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63</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95</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126</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1</w:t>
            </w:r>
            <w:r>
              <w:rPr>
                <w:rFonts w:asciiTheme="majorHAnsi" w:hAnsiTheme="majorHAnsi" w:cs="Arial"/>
                <w:sz w:val="18"/>
                <w:szCs w:val="18"/>
              </w:rPr>
              <w:t>58</w:t>
            </w:r>
          </w:p>
        </w:tc>
        <w:tc>
          <w:tcPr>
            <w:tcW w:w="426"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190</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221</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sidRPr="00F87F7C">
              <w:rPr>
                <w:rFonts w:asciiTheme="majorHAnsi" w:hAnsiTheme="majorHAnsi" w:cs="Arial"/>
                <w:sz w:val="18"/>
                <w:szCs w:val="18"/>
              </w:rPr>
              <w:t>2</w:t>
            </w:r>
            <w:r>
              <w:rPr>
                <w:rFonts w:asciiTheme="majorHAnsi" w:hAnsiTheme="majorHAnsi" w:cs="Arial"/>
                <w:sz w:val="18"/>
                <w:szCs w:val="18"/>
              </w:rPr>
              <w:t>53</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285</w:t>
            </w:r>
          </w:p>
        </w:tc>
        <w:tc>
          <w:tcPr>
            <w:tcW w:w="426"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316</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379</w:t>
            </w:r>
          </w:p>
        </w:tc>
        <w:tc>
          <w:tcPr>
            <w:tcW w:w="425"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443</w:t>
            </w:r>
          </w:p>
        </w:tc>
        <w:tc>
          <w:tcPr>
            <w:tcW w:w="419" w:type="dxa"/>
            <w:vAlign w:val="center"/>
          </w:tcPr>
          <w:p w:rsidR="00F87F7C" w:rsidRPr="00F87F7C" w:rsidRDefault="00F87F7C" w:rsidP="00F87F7C">
            <w:pPr>
              <w:spacing w:line="360" w:lineRule="auto"/>
              <w:ind w:left="-134" w:right="-51"/>
              <w:jc w:val="center"/>
              <w:rPr>
                <w:rFonts w:asciiTheme="majorHAnsi" w:hAnsiTheme="majorHAnsi" w:cs="Arial"/>
                <w:sz w:val="18"/>
                <w:szCs w:val="18"/>
              </w:rPr>
            </w:pPr>
            <w:r>
              <w:rPr>
                <w:rFonts w:asciiTheme="majorHAnsi" w:hAnsiTheme="majorHAnsi" w:cs="Arial"/>
                <w:sz w:val="18"/>
                <w:szCs w:val="18"/>
              </w:rPr>
              <w:t>474</w:t>
            </w:r>
          </w:p>
        </w:tc>
      </w:tr>
    </w:tbl>
    <w:p w:rsidR="00D842BF" w:rsidRPr="00F87F7C" w:rsidRDefault="00D842BF" w:rsidP="001968AC">
      <w:pPr>
        <w:spacing w:after="0" w:line="360" w:lineRule="auto"/>
        <w:jc w:val="both"/>
        <w:rPr>
          <w:rFonts w:asciiTheme="majorHAnsi" w:hAnsiTheme="majorHAnsi" w:cs="Arial"/>
          <w:sz w:val="24"/>
          <w:szCs w:val="24"/>
        </w:rPr>
      </w:pPr>
    </w:p>
    <w:p w:rsidR="00F87F7C" w:rsidRPr="00F87F7C" w:rsidRDefault="00F87F7C" w:rsidP="001968AC">
      <w:pPr>
        <w:spacing w:after="0" w:line="360" w:lineRule="auto"/>
        <w:jc w:val="both"/>
        <w:rPr>
          <w:b/>
          <w:sz w:val="24"/>
          <w:szCs w:val="24"/>
        </w:rPr>
      </w:pPr>
      <w:r w:rsidRPr="00F87F7C">
        <w:rPr>
          <w:b/>
          <w:sz w:val="24"/>
          <w:szCs w:val="24"/>
        </w:rPr>
        <w:t>ILUMINAÇÃO DE EMERGÊNCIA - CONFORME NTCB 16 DO CBMMT</w:t>
      </w:r>
    </w:p>
    <w:p w:rsidR="00D842BF" w:rsidRDefault="00F87F7C" w:rsidP="001968AC">
      <w:pPr>
        <w:spacing w:after="0" w:line="360" w:lineRule="auto"/>
        <w:jc w:val="both"/>
        <w:rPr>
          <w:sz w:val="24"/>
          <w:szCs w:val="24"/>
        </w:rPr>
      </w:pPr>
      <w:r w:rsidRPr="00F87F7C">
        <w:rPr>
          <w:sz w:val="24"/>
          <w:szCs w:val="24"/>
        </w:rPr>
        <w:t>A edificação deverá possuir sistema de iluminação de emergência conforme NTCB 16 do CBMMT com condições de clarear áreas escuras de passagens, horizontais e verticais, incluindo áreas de trabalho e áreas técnicas de controle de restabelecimento de serviços essenciais e normais, na falta de iluminação normal</w:t>
      </w:r>
      <w:r>
        <w:rPr>
          <w:sz w:val="24"/>
          <w:szCs w:val="24"/>
        </w:rPr>
        <w:t>.</w:t>
      </w:r>
    </w:p>
    <w:p w:rsidR="002C303E" w:rsidRDefault="002C303E" w:rsidP="001968AC">
      <w:pPr>
        <w:spacing w:after="0" w:line="360" w:lineRule="auto"/>
        <w:jc w:val="both"/>
        <w:rPr>
          <w:sz w:val="24"/>
          <w:szCs w:val="24"/>
        </w:rPr>
      </w:pPr>
    </w:p>
    <w:tbl>
      <w:tblPr>
        <w:tblStyle w:val="Tabelacomgrade"/>
        <w:tblW w:w="0" w:type="auto"/>
        <w:tblLook w:val="04A0" w:firstRow="1" w:lastRow="0" w:firstColumn="1" w:lastColumn="0" w:noHBand="0" w:noVBand="1"/>
      </w:tblPr>
      <w:tblGrid>
        <w:gridCol w:w="1271"/>
        <w:gridCol w:w="7223"/>
      </w:tblGrid>
      <w:tr w:rsidR="002C303E" w:rsidRPr="002C303E" w:rsidTr="002C303E">
        <w:tc>
          <w:tcPr>
            <w:tcW w:w="8494" w:type="dxa"/>
            <w:gridSpan w:val="2"/>
            <w:shd w:val="clear" w:color="auto" w:fill="BFBFBF" w:themeFill="background1" w:themeFillShade="BF"/>
          </w:tcPr>
          <w:p w:rsidR="002C303E" w:rsidRPr="002C303E" w:rsidRDefault="002C303E" w:rsidP="002C303E">
            <w:pPr>
              <w:spacing w:line="360" w:lineRule="auto"/>
              <w:jc w:val="center"/>
              <w:rPr>
                <w:rFonts w:asciiTheme="majorHAnsi" w:hAnsiTheme="majorHAnsi" w:cs="Arial"/>
                <w:b/>
                <w:sz w:val="20"/>
                <w:szCs w:val="20"/>
              </w:rPr>
            </w:pPr>
            <w:r w:rsidRPr="002C303E">
              <w:rPr>
                <w:rFonts w:asciiTheme="majorHAnsi" w:hAnsiTheme="majorHAnsi" w:cs="Arial"/>
                <w:b/>
                <w:sz w:val="20"/>
                <w:szCs w:val="20"/>
              </w:rPr>
              <w:t>TIPO DE SISTEMA</w:t>
            </w:r>
          </w:p>
        </w:tc>
      </w:tr>
      <w:tr w:rsidR="002C303E" w:rsidTr="002C303E">
        <w:tc>
          <w:tcPr>
            <w:tcW w:w="1271" w:type="dxa"/>
          </w:tcPr>
          <w:p w:rsidR="002C303E" w:rsidRPr="002C303E" w:rsidRDefault="002C303E" w:rsidP="002C303E">
            <w:pPr>
              <w:spacing w:line="360" w:lineRule="auto"/>
              <w:jc w:val="center"/>
              <w:rPr>
                <w:rFonts w:asciiTheme="majorHAnsi" w:hAnsiTheme="majorHAnsi" w:cs="Arial"/>
                <w:b/>
                <w:sz w:val="24"/>
                <w:szCs w:val="24"/>
              </w:rPr>
            </w:pPr>
            <w:r w:rsidRPr="002C303E">
              <w:rPr>
                <w:rFonts w:asciiTheme="majorHAnsi" w:hAnsiTheme="majorHAnsi" w:cs="Arial"/>
                <w:b/>
                <w:sz w:val="24"/>
                <w:szCs w:val="24"/>
              </w:rPr>
              <w:t>X</w:t>
            </w:r>
          </w:p>
        </w:tc>
        <w:tc>
          <w:tcPr>
            <w:tcW w:w="7223" w:type="dxa"/>
          </w:tcPr>
          <w:p w:rsidR="002C303E" w:rsidRDefault="002C303E" w:rsidP="001968AC">
            <w:pPr>
              <w:spacing w:line="360" w:lineRule="auto"/>
              <w:jc w:val="both"/>
              <w:rPr>
                <w:rFonts w:asciiTheme="majorHAnsi" w:hAnsiTheme="majorHAnsi" w:cs="Arial"/>
                <w:sz w:val="24"/>
                <w:szCs w:val="24"/>
              </w:rPr>
            </w:pPr>
            <w:r>
              <w:t>Conjunto de blocos autônomos</w:t>
            </w:r>
          </w:p>
        </w:tc>
      </w:tr>
      <w:tr w:rsidR="002C303E" w:rsidTr="002C303E">
        <w:tc>
          <w:tcPr>
            <w:tcW w:w="1271" w:type="dxa"/>
          </w:tcPr>
          <w:p w:rsidR="002C303E" w:rsidRDefault="002C303E" w:rsidP="002C303E">
            <w:pPr>
              <w:spacing w:line="360" w:lineRule="auto"/>
              <w:jc w:val="center"/>
              <w:rPr>
                <w:rFonts w:asciiTheme="majorHAnsi" w:hAnsiTheme="majorHAnsi" w:cs="Arial"/>
                <w:sz w:val="24"/>
                <w:szCs w:val="24"/>
              </w:rPr>
            </w:pPr>
          </w:p>
        </w:tc>
        <w:tc>
          <w:tcPr>
            <w:tcW w:w="7223" w:type="dxa"/>
          </w:tcPr>
          <w:p w:rsidR="002C303E" w:rsidRDefault="002C303E" w:rsidP="001968AC">
            <w:pPr>
              <w:spacing w:line="360" w:lineRule="auto"/>
              <w:jc w:val="both"/>
              <w:rPr>
                <w:rFonts w:asciiTheme="majorHAnsi" w:hAnsiTheme="majorHAnsi" w:cs="Arial"/>
                <w:sz w:val="24"/>
                <w:szCs w:val="24"/>
              </w:rPr>
            </w:pPr>
            <w:r>
              <w:t>Sistema centralizado com baterias recarregáveis</w:t>
            </w:r>
          </w:p>
        </w:tc>
      </w:tr>
      <w:tr w:rsidR="002C303E" w:rsidTr="002C303E">
        <w:tc>
          <w:tcPr>
            <w:tcW w:w="1271" w:type="dxa"/>
          </w:tcPr>
          <w:p w:rsidR="002C303E" w:rsidRDefault="002C303E" w:rsidP="002C303E">
            <w:pPr>
              <w:spacing w:line="360" w:lineRule="auto"/>
              <w:jc w:val="center"/>
              <w:rPr>
                <w:rFonts w:asciiTheme="majorHAnsi" w:hAnsiTheme="majorHAnsi" w:cs="Arial"/>
                <w:sz w:val="24"/>
                <w:szCs w:val="24"/>
              </w:rPr>
            </w:pPr>
          </w:p>
        </w:tc>
        <w:tc>
          <w:tcPr>
            <w:tcW w:w="7223" w:type="dxa"/>
          </w:tcPr>
          <w:p w:rsidR="002C303E" w:rsidRDefault="002C303E" w:rsidP="001968AC">
            <w:pPr>
              <w:spacing w:line="360" w:lineRule="auto"/>
              <w:jc w:val="both"/>
            </w:pPr>
            <w:r>
              <w:t xml:space="preserve">Sistema centralizado com grupo </w:t>
            </w:r>
            <w:proofErr w:type="spellStart"/>
            <w:r>
              <w:t>motogerador</w:t>
            </w:r>
            <w:proofErr w:type="spellEnd"/>
            <w:r>
              <w:t xml:space="preserve"> com arranque automático</w:t>
            </w:r>
          </w:p>
        </w:tc>
      </w:tr>
    </w:tbl>
    <w:p w:rsidR="002C303E" w:rsidRPr="002C303E" w:rsidRDefault="002C303E" w:rsidP="001968AC">
      <w:pPr>
        <w:spacing w:after="0" w:line="360" w:lineRule="auto"/>
        <w:jc w:val="both"/>
        <w:rPr>
          <w:rFonts w:asciiTheme="majorHAnsi" w:hAnsiTheme="majorHAnsi" w:cs="Arial"/>
          <w:sz w:val="24"/>
          <w:szCs w:val="24"/>
        </w:rPr>
      </w:pPr>
    </w:p>
    <w:p w:rsidR="002C303E" w:rsidRPr="002C303E" w:rsidRDefault="002C303E" w:rsidP="001968AC">
      <w:pPr>
        <w:spacing w:after="0" w:line="360" w:lineRule="auto"/>
        <w:jc w:val="both"/>
        <w:rPr>
          <w:b/>
          <w:sz w:val="24"/>
          <w:szCs w:val="24"/>
        </w:rPr>
      </w:pPr>
      <w:r w:rsidRPr="002C303E">
        <w:rPr>
          <w:b/>
          <w:sz w:val="24"/>
          <w:szCs w:val="24"/>
        </w:rPr>
        <w:t>REQUISITOS DO SISTEMA ADOTADO</w:t>
      </w:r>
    </w:p>
    <w:p w:rsidR="002C303E" w:rsidRPr="002C303E" w:rsidRDefault="002C303E" w:rsidP="001968AC">
      <w:pPr>
        <w:spacing w:after="0" w:line="360" w:lineRule="auto"/>
        <w:jc w:val="both"/>
        <w:rPr>
          <w:sz w:val="24"/>
          <w:szCs w:val="24"/>
        </w:rPr>
      </w:pPr>
      <w:r w:rsidRPr="002C303E">
        <w:rPr>
          <w:sz w:val="24"/>
          <w:szCs w:val="24"/>
        </w:rPr>
        <w:t>Aparelhos de iluminação de emergência constituídos de um único invólucro adequado, contendo lâmpadas incandescentes, fluorescentes ou similares e:</w:t>
      </w:r>
    </w:p>
    <w:p w:rsidR="002C303E" w:rsidRPr="002C303E" w:rsidRDefault="002C303E" w:rsidP="001968AC">
      <w:pPr>
        <w:spacing w:after="0" w:line="360" w:lineRule="auto"/>
        <w:jc w:val="both"/>
        <w:rPr>
          <w:sz w:val="24"/>
          <w:szCs w:val="24"/>
        </w:rPr>
      </w:pPr>
      <w:r w:rsidRPr="002C303E">
        <w:rPr>
          <w:sz w:val="24"/>
          <w:szCs w:val="24"/>
        </w:rPr>
        <w:t>a) fonte de energia com carregador e controles de supervisão;</w:t>
      </w:r>
    </w:p>
    <w:p w:rsidR="002C303E" w:rsidRPr="002C303E" w:rsidRDefault="002C303E" w:rsidP="001968AC">
      <w:pPr>
        <w:spacing w:after="0" w:line="360" w:lineRule="auto"/>
        <w:jc w:val="both"/>
        <w:rPr>
          <w:rFonts w:asciiTheme="majorHAnsi" w:hAnsiTheme="majorHAnsi" w:cs="Arial"/>
          <w:sz w:val="24"/>
          <w:szCs w:val="24"/>
        </w:rPr>
      </w:pPr>
      <w:r w:rsidRPr="002C303E">
        <w:rPr>
          <w:sz w:val="24"/>
          <w:szCs w:val="24"/>
        </w:rPr>
        <w:t>b) sensor de falha na tensão alternada, dispositivo necessário para colocá-lo em funcionamento, no caso de interrupção de alimentação da rede elétrica da concessionária ou na falta de uma iluminação adequada.</w:t>
      </w:r>
    </w:p>
    <w:p w:rsidR="00F87F7C" w:rsidRDefault="00F87F7C" w:rsidP="001968AC">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3114"/>
        <w:gridCol w:w="2693"/>
        <w:gridCol w:w="2687"/>
      </w:tblGrid>
      <w:tr w:rsidR="002C303E" w:rsidTr="002C303E">
        <w:tc>
          <w:tcPr>
            <w:tcW w:w="3114"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Altura do ponto de luz em relação ao piso (m)</w:t>
            </w:r>
          </w:p>
        </w:tc>
        <w:tc>
          <w:tcPr>
            <w:tcW w:w="2693"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Intensidade máxima do ponto de luz (</w:t>
            </w:r>
            <w:proofErr w:type="spellStart"/>
            <w:r w:rsidRPr="002C303E">
              <w:rPr>
                <w:b/>
                <w:sz w:val="20"/>
                <w:szCs w:val="20"/>
              </w:rPr>
              <w:t>cd</w:t>
            </w:r>
            <w:proofErr w:type="spellEnd"/>
            <w:r w:rsidRPr="002C303E">
              <w:rPr>
                <w:b/>
                <w:sz w:val="20"/>
                <w:szCs w:val="20"/>
              </w:rPr>
              <w:t>)</w:t>
            </w:r>
          </w:p>
        </w:tc>
        <w:tc>
          <w:tcPr>
            <w:tcW w:w="2687"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Iluminação ao nível do piso (</w:t>
            </w:r>
            <w:proofErr w:type="spellStart"/>
            <w:r w:rsidRPr="002C303E">
              <w:rPr>
                <w:b/>
                <w:sz w:val="20"/>
                <w:szCs w:val="20"/>
              </w:rPr>
              <w:t>cd</w:t>
            </w:r>
            <w:proofErr w:type="spellEnd"/>
            <w:r w:rsidRPr="002C303E">
              <w:rPr>
                <w:b/>
                <w:sz w:val="20"/>
                <w:szCs w:val="20"/>
              </w:rPr>
              <w:t>/m2)</w:t>
            </w:r>
          </w:p>
        </w:tc>
      </w:tr>
      <w:tr w:rsidR="002C303E" w:rsidTr="002C303E">
        <w:tc>
          <w:tcPr>
            <w:tcW w:w="3114" w:type="dxa"/>
            <w:tcBorders>
              <w:bottom w:val="single" w:sz="4" w:space="0" w:color="auto"/>
            </w:tcBorders>
          </w:tcPr>
          <w:p w:rsidR="002C303E" w:rsidRPr="002C303E" w:rsidRDefault="002C303E" w:rsidP="002C303E">
            <w:pPr>
              <w:spacing w:line="360" w:lineRule="auto"/>
              <w:jc w:val="center"/>
              <w:rPr>
                <w:rFonts w:asciiTheme="majorHAnsi" w:hAnsiTheme="majorHAnsi" w:cs="Arial"/>
              </w:rPr>
            </w:pPr>
            <w:r w:rsidRPr="002C303E">
              <w:rPr>
                <w:rFonts w:asciiTheme="majorHAnsi" w:hAnsiTheme="majorHAnsi" w:cs="Arial"/>
              </w:rPr>
              <w:t>2,20M à 3,00m</w:t>
            </w:r>
          </w:p>
        </w:tc>
        <w:tc>
          <w:tcPr>
            <w:tcW w:w="2693" w:type="dxa"/>
          </w:tcPr>
          <w:p w:rsidR="002C303E" w:rsidRPr="002C303E" w:rsidRDefault="002C303E" w:rsidP="002C303E">
            <w:pPr>
              <w:spacing w:line="360" w:lineRule="auto"/>
              <w:jc w:val="center"/>
              <w:rPr>
                <w:rFonts w:asciiTheme="majorHAnsi" w:hAnsiTheme="majorHAnsi" w:cs="Arial"/>
              </w:rPr>
            </w:pPr>
            <w:r w:rsidRPr="002C303E">
              <w:rPr>
                <w:rFonts w:asciiTheme="majorHAnsi" w:hAnsiTheme="majorHAnsi" w:cs="Arial"/>
              </w:rPr>
              <w:t>900</w:t>
            </w:r>
          </w:p>
        </w:tc>
        <w:tc>
          <w:tcPr>
            <w:tcW w:w="2687" w:type="dxa"/>
          </w:tcPr>
          <w:p w:rsidR="002C303E" w:rsidRPr="002C303E" w:rsidRDefault="002C303E" w:rsidP="002C303E">
            <w:pPr>
              <w:spacing w:line="360" w:lineRule="auto"/>
              <w:jc w:val="center"/>
              <w:rPr>
                <w:rFonts w:asciiTheme="majorHAnsi" w:hAnsiTheme="majorHAnsi" w:cs="Arial"/>
              </w:rPr>
            </w:pPr>
            <w:r w:rsidRPr="002C303E">
              <w:rPr>
                <w:rFonts w:asciiTheme="majorHAnsi" w:hAnsiTheme="majorHAnsi" w:cs="Arial"/>
              </w:rPr>
              <w:t>100</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Tipo de luminárias</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Luminária Emergência Autônoma</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Tipo de lâmpada</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LED</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Potencia em watts</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30</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Tensão, em volts</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127</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Fluxo luminoso nominal, em lumens</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100</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Ângulo de dispersão</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120°</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Vida útil do elemento gerador de luz</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24000h</w:t>
            </w:r>
          </w:p>
        </w:tc>
      </w:tr>
      <w:tr w:rsidR="002C303E" w:rsidTr="002C303E">
        <w:tc>
          <w:tcPr>
            <w:tcW w:w="3114" w:type="dxa"/>
            <w:shd w:val="clear" w:color="auto" w:fill="BFBFBF" w:themeFill="background1" w:themeFillShade="BF"/>
          </w:tcPr>
          <w:p w:rsidR="002C303E" w:rsidRPr="002C303E" w:rsidRDefault="002C303E" w:rsidP="001968AC">
            <w:pPr>
              <w:spacing w:line="360" w:lineRule="auto"/>
              <w:jc w:val="both"/>
              <w:rPr>
                <w:rFonts w:asciiTheme="majorHAnsi" w:hAnsiTheme="majorHAnsi" w:cs="Arial"/>
                <w:sz w:val="20"/>
                <w:szCs w:val="20"/>
              </w:rPr>
            </w:pPr>
            <w:r w:rsidRPr="002C303E">
              <w:rPr>
                <w:sz w:val="20"/>
                <w:szCs w:val="20"/>
              </w:rPr>
              <w:t>Autonomia da Luminária</w:t>
            </w:r>
          </w:p>
        </w:tc>
        <w:tc>
          <w:tcPr>
            <w:tcW w:w="5380" w:type="dxa"/>
            <w:gridSpan w:val="2"/>
          </w:tcPr>
          <w:p w:rsidR="002C303E" w:rsidRPr="002C303E" w:rsidRDefault="002C303E" w:rsidP="001968AC">
            <w:pPr>
              <w:spacing w:line="360" w:lineRule="auto"/>
              <w:jc w:val="both"/>
              <w:rPr>
                <w:rFonts w:asciiTheme="majorHAnsi" w:hAnsiTheme="majorHAnsi" w:cs="Arial"/>
                <w:sz w:val="20"/>
                <w:szCs w:val="20"/>
              </w:rPr>
            </w:pPr>
            <w:r>
              <w:rPr>
                <w:rFonts w:asciiTheme="majorHAnsi" w:hAnsiTheme="majorHAnsi" w:cs="Arial"/>
                <w:sz w:val="20"/>
                <w:szCs w:val="20"/>
              </w:rPr>
              <w:t>3h</w:t>
            </w:r>
          </w:p>
        </w:tc>
      </w:tr>
    </w:tbl>
    <w:p w:rsidR="002C303E" w:rsidRPr="002C303E" w:rsidRDefault="002C303E" w:rsidP="001968AC">
      <w:pPr>
        <w:spacing w:after="0" w:line="360" w:lineRule="auto"/>
        <w:jc w:val="both"/>
        <w:rPr>
          <w:rFonts w:asciiTheme="majorHAnsi" w:hAnsiTheme="majorHAnsi" w:cs="Arial"/>
          <w:sz w:val="24"/>
          <w:szCs w:val="24"/>
        </w:rPr>
      </w:pPr>
    </w:p>
    <w:p w:rsidR="002C303E" w:rsidRPr="002C303E" w:rsidRDefault="002C303E" w:rsidP="001968AC">
      <w:pPr>
        <w:spacing w:after="0" w:line="360" w:lineRule="auto"/>
        <w:jc w:val="both"/>
        <w:rPr>
          <w:rFonts w:asciiTheme="majorHAnsi" w:hAnsiTheme="majorHAnsi" w:cs="Arial"/>
          <w:sz w:val="24"/>
          <w:szCs w:val="24"/>
        </w:rPr>
      </w:pPr>
      <w:r w:rsidRPr="002C303E">
        <w:rPr>
          <w:sz w:val="24"/>
          <w:szCs w:val="24"/>
        </w:rPr>
        <w:t>Deve assegurar o mínimo de proteção de acordo com a NBR 6146, de forma a ter resistência contra impacto de água, sem causar danos mecânicos nem o desprendimento da luminária. A manutenção do sistema de iluminação de emergência deverá seguir as instruções da NBR 10898. Em todos os corredores da edificação será instalado luminárias de emergência para que seja balizado o fluxo de saída</w:t>
      </w:r>
    </w:p>
    <w:p w:rsidR="002C303E" w:rsidRPr="002C303E" w:rsidRDefault="002C303E" w:rsidP="001968AC">
      <w:pPr>
        <w:spacing w:after="0" w:line="360" w:lineRule="auto"/>
        <w:jc w:val="both"/>
        <w:rPr>
          <w:rFonts w:asciiTheme="majorHAnsi" w:hAnsiTheme="majorHAnsi" w:cs="Arial"/>
          <w:sz w:val="24"/>
          <w:szCs w:val="24"/>
        </w:rPr>
      </w:pPr>
    </w:p>
    <w:p w:rsidR="002C303E" w:rsidRPr="002C303E" w:rsidRDefault="002C303E" w:rsidP="001968AC">
      <w:pPr>
        <w:spacing w:after="0" w:line="360" w:lineRule="auto"/>
        <w:jc w:val="both"/>
        <w:rPr>
          <w:b/>
          <w:sz w:val="24"/>
          <w:szCs w:val="24"/>
        </w:rPr>
      </w:pPr>
      <w:r w:rsidRPr="002C303E">
        <w:rPr>
          <w:b/>
          <w:sz w:val="24"/>
          <w:szCs w:val="24"/>
        </w:rPr>
        <w:t>EXTINTORE</w:t>
      </w:r>
      <w:r w:rsidR="00200D8E">
        <w:rPr>
          <w:b/>
          <w:sz w:val="24"/>
          <w:szCs w:val="24"/>
        </w:rPr>
        <w:t>S</w:t>
      </w:r>
    </w:p>
    <w:p w:rsidR="002C303E" w:rsidRPr="002C303E" w:rsidRDefault="002C303E" w:rsidP="002C303E">
      <w:pPr>
        <w:spacing w:after="0" w:line="360" w:lineRule="auto"/>
        <w:jc w:val="both"/>
        <w:rPr>
          <w:rFonts w:asciiTheme="majorHAnsi" w:hAnsiTheme="majorHAnsi" w:cs="Arial"/>
          <w:sz w:val="24"/>
          <w:szCs w:val="24"/>
        </w:rPr>
      </w:pPr>
      <w:r w:rsidRPr="002C303E">
        <w:rPr>
          <w:sz w:val="24"/>
          <w:szCs w:val="24"/>
        </w:rPr>
        <w:t>Os extintores portáteis deverão ser afixados em locais com boa</w:t>
      </w:r>
      <w:r>
        <w:rPr>
          <w:sz w:val="24"/>
          <w:szCs w:val="24"/>
        </w:rPr>
        <w:t xml:space="preserve"> </w:t>
      </w:r>
      <w:r w:rsidRPr="002C303E">
        <w:rPr>
          <w:sz w:val="24"/>
          <w:szCs w:val="24"/>
        </w:rPr>
        <w:t>visibilidade e acesso desimpedido, portanto, deverão ser afixados de maneira que nenhuma de suas partes fique acima de 1,60 metros do piso acabado ou abaixo de 0,10 metros do piso acabado, desde que não fiquem obstruídos e que a</w:t>
      </w:r>
      <w:r>
        <w:rPr>
          <w:sz w:val="24"/>
          <w:szCs w:val="24"/>
        </w:rPr>
        <w:t xml:space="preserve"> </w:t>
      </w:r>
      <w:r w:rsidRPr="002C303E">
        <w:rPr>
          <w:sz w:val="24"/>
          <w:szCs w:val="24"/>
        </w:rPr>
        <w:t>visibilidade não fique prejudicada;</w:t>
      </w:r>
    </w:p>
    <w:p w:rsidR="002C303E" w:rsidRPr="002C303E" w:rsidRDefault="002C303E" w:rsidP="001968AC">
      <w:pPr>
        <w:spacing w:after="0" w:line="360" w:lineRule="auto"/>
        <w:jc w:val="both"/>
        <w:rPr>
          <w:rFonts w:asciiTheme="majorHAnsi" w:hAnsiTheme="majorHAnsi" w:cs="Arial"/>
          <w:sz w:val="24"/>
          <w:szCs w:val="24"/>
        </w:rPr>
      </w:pPr>
    </w:p>
    <w:p w:rsidR="002C303E" w:rsidRPr="002C303E" w:rsidRDefault="002C303E" w:rsidP="001968AC">
      <w:pPr>
        <w:spacing w:after="0" w:line="360" w:lineRule="auto"/>
        <w:jc w:val="both"/>
        <w:rPr>
          <w:b/>
          <w:sz w:val="24"/>
          <w:szCs w:val="24"/>
        </w:rPr>
      </w:pPr>
      <w:r w:rsidRPr="002C303E">
        <w:rPr>
          <w:b/>
          <w:sz w:val="24"/>
          <w:szCs w:val="24"/>
        </w:rPr>
        <w:t>REQUISITOS MÍNIMOS DE ACORDO COM O RISCO</w:t>
      </w:r>
    </w:p>
    <w:p w:rsidR="002C303E" w:rsidRDefault="002C303E" w:rsidP="001968AC">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2123"/>
        <w:gridCol w:w="2123"/>
        <w:gridCol w:w="2124"/>
        <w:gridCol w:w="2124"/>
      </w:tblGrid>
      <w:tr w:rsidR="002C303E" w:rsidTr="002C303E">
        <w:tc>
          <w:tcPr>
            <w:tcW w:w="2123" w:type="dxa"/>
            <w:tcBorders>
              <w:bottom w:val="single" w:sz="4" w:space="0" w:color="auto"/>
            </w:tcBorders>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Classe do Fogo</w:t>
            </w:r>
          </w:p>
        </w:tc>
        <w:tc>
          <w:tcPr>
            <w:tcW w:w="2123"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Capacidade extintora mínima</w:t>
            </w:r>
          </w:p>
        </w:tc>
        <w:tc>
          <w:tcPr>
            <w:tcW w:w="2124"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Distância máxima a ser percorrida</w:t>
            </w:r>
          </w:p>
        </w:tc>
        <w:tc>
          <w:tcPr>
            <w:tcW w:w="2124" w:type="dxa"/>
            <w:shd w:val="clear" w:color="auto" w:fill="BFBFBF" w:themeFill="background1" w:themeFillShade="BF"/>
          </w:tcPr>
          <w:p w:rsidR="002C303E" w:rsidRPr="002C303E" w:rsidRDefault="002C303E" w:rsidP="002C303E">
            <w:pPr>
              <w:jc w:val="center"/>
              <w:rPr>
                <w:rFonts w:asciiTheme="majorHAnsi" w:hAnsiTheme="majorHAnsi" w:cs="Arial"/>
                <w:b/>
                <w:sz w:val="20"/>
                <w:szCs w:val="20"/>
              </w:rPr>
            </w:pPr>
            <w:r w:rsidRPr="002C303E">
              <w:rPr>
                <w:b/>
                <w:sz w:val="20"/>
                <w:szCs w:val="20"/>
              </w:rPr>
              <w:t>Substância ou agente extintor</w:t>
            </w:r>
          </w:p>
        </w:tc>
      </w:tr>
      <w:tr w:rsidR="002C303E" w:rsidTr="002C303E">
        <w:tc>
          <w:tcPr>
            <w:tcW w:w="2123" w:type="dxa"/>
            <w:shd w:val="clear" w:color="auto" w:fill="BFBFBF" w:themeFill="background1" w:themeFillShade="BF"/>
          </w:tcPr>
          <w:p w:rsidR="002C303E" w:rsidRPr="002C303E" w:rsidRDefault="002C303E" w:rsidP="002C303E">
            <w:pPr>
              <w:spacing w:line="360" w:lineRule="auto"/>
              <w:jc w:val="center"/>
              <w:rPr>
                <w:rFonts w:asciiTheme="majorHAnsi" w:hAnsiTheme="majorHAnsi" w:cs="Arial"/>
                <w:b/>
                <w:sz w:val="20"/>
                <w:szCs w:val="20"/>
              </w:rPr>
            </w:pPr>
            <w:r w:rsidRPr="002C303E">
              <w:rPr>
                <w:b/>
                <w:sz w:val="20"/>
                <w:szCs w:val="20"/>
              </w:rPr>
              <w:t>Classe ABC</w:t>
            </w:r>
          </w:p>
        </w:tc>
        <w:tc>
          <w:tcPr>
            <w:tcW w:w="2123"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20-BC</w:t>
            </w:r>
          </w:p>
        </w:tc>
        <w:tc>
          <w:tcPr>
            <w:tcW w:w="2124"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20m</w:t>
            </w:r>
          </w:p>
        </w:tc>
        <w:tc>
          <w:tcPr>
            <w:tcW w:w="2124"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Pó ABC</w:t>
            </w:r>
          </w:p>
        </w:tc>
      </w:tr>
      <w:tr w:rsidR="002C303E" w:rsidTr="002C303E">
        <w:tc>
          <w:tcPr>
            <w:tcW w:w="2123" w:type="dxa"/>
            <w:shd w:val="clear" w:color="auto" w:fill="BFBFBF" w:themeFill="background1" w:themeFillShade="BF"/>
          </w:tcPr>
          <w:p w:rsidR="002C303E" w:rsidRPr="002C303E" w:rsidRDefault="002C303E" w:rsidP="002C303E">
            <w:pPr>
              <w:spacing w:line="360" w:lineRule="auto"/>
              <w:jc w:val="center"/>
              <w:rPr>
                <w:rFonts w:asciiTheme="majorHAnsi" w:hAnsiTheme="majorHAnsi" w:cs="Arial"/>
                <w:b/>
                <w:sz w:val="20"/>
                <w:szCs w:val="20"/>
              </w:rPr>
            </w:pPr>
            <w:r w:rsidRPr="002C303E">
              <w:rPr>
                <w:b/>
                <w:sz w:val="20"/>
                <w:szCs w:val="20"/>
              </w:rPr>
              <w:t>Classe BC</w:t>
            </w:r>
          </w:p>
        </w:tc>
        <w:tc>
          <w:tcPr>
            <w:tcW w:w="2123"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20-BC</w:t>
            </w:r>
          </w:p>
        </w:tc>
        <w:tc>
          <w:tcPr>
            <w:tcW w:w="2124"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20m</w:t>
            </w:r>
          </w:p>
        </w:tc>
        <w:tc>
          <w:tcPr>
            <w:tcW w:w="2124"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BC</w:t>
            </w:r>
          </w:p>
        </w:tc>
      </w:tr>
      <w:tr w:rsidR="002C303E" w:rsidTr="002C303E">
        <w:tc>
          <w:tcPr>
            <w:tcW w:w="2123" w:type="dxa"/>
            <w:shd w:val="clear" w:color="auto" w:fill="BFBFBF" w:themeFill="background1" w:themeFillShade="BF"/>
          </w:tcPr>
          <w:p w:rsidR="002C303E" w:rsidRPr="002C303E" w:rsidRDefault="002C303E" w:rsidP="002C303E">
            <w:pPr>
              <w:spacing w:line="360" w:lineRule="auto"/>
              <w:jc w:val="center"/>
              <w:rPr>
                <w:rFonts w:asciiTheme="majorHAnsi" w:hAnsiTheme="majorHAnsi" w:cs="Arial"/>
                <w:b/>
                <w:sz w:val="20"/>
                <w:szCs w:val="20"/>
              </w:rPr>
            </w:pPr>
            <w:r w:rsidRPr="002C303E">
              <w:rPr>
                <w:b/>
                <w:sz w:val="20"/>
                <w:szCs w:val="20"/>
              </w:rPr>
              <w:t>Classe BC</w:t>
            </w:r>
          </w:p>
        </w:tc>
        <w:tc>
          <w:tcPr>
            <w:tcW w:w="2123"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3-A 20BC</w:t>
            </w:r>
          </w:p>
        </w:tc>
        <w:tc>
          <w:tcPr>
            <w:tcW w:w="2124" w:type="dxa"/>
          </w:tcPr>
          <w:p w:rsidR="002C303E" w:rsidRPr="002C303E" w:rsidRDefault="00790D9F" w:rsidP="002C303E">
            <w:pPr>
              <w:spacing w:line="360" w:lineRule="auto"/>
              <w:jc w:val="center"/>
              <w:rPr>
                <w:rFonts w:asciiTheme="majorHAnsi" w:hAnsiTheme="majorHAnsi" w:cs="Arial"/>
                <w:sz w:val="20"/>
                <w:szCs w:val="20"/>
              </w:rPr>
            </w:pPr>
            <w:r>
              <w:rPr>
                <w:rFonts w:asciiTheme="majorHAnsi" w:hAnsiTheme="majorHAnsi" w:cs="Arial"/>
                <w:sz w:val="20"/>
                <w:szCs w:val="20"/>
              </w:rPr>
              <w:t>20m</w:t>
            </w:r>
          </w:p>
        </w:tc>
        <w:tc>
          <w:tcPr>
            <w:tcW w:w="2124" w:type="dxa"/>
          </w:tcPr>
          <w:p w:rsidR="002C303E" w:rsidRPr="002C303E" w:rsidRDefault="00790D9F" w:rsidP="00790D9F">
            <w:pPr>
              <w:spacing w:line="360" w:lineRule="auto"/>
              <w:jc w:val="center"/>
              <w:rPr>
                <w:rFonts w:asciiTheme="majorHAnsi" w:hAnsiTheme="majorHAnsi" w:cs="Arial"/>
                <w:sz w:val="20"/>
                <w:szCs w:val="20"/>
              </w:rPr>
            </w:pPr>
            <w:r>
              <w:rPr>
                <w:rFonts w:asciiTheme="majorHAnsi" w:hAnsiTheme="majorHAnsi" w:cs="Arial"/>
                <w:sz w:val="20"/>
                <w:szCs w:val="20"/>
              </w:rPr>
              <w:t>Co</w:t>
            </w:r>
            <w:r w:rsidRPr="00790D9F">
              <w:rPr>
                <w:rFonts w:asciiTheme="majorHAnsi" w:hAnsiTheme="majorHAnsi" w:cs="Arial"/>
                <w:sz w:val="20"/>
                <w:szCs w:val="20"/>
                <w:vertAlign w:val="subscript"/>
              </w:rPr>
              <w:t>2</w:t>
            </w:r>
          </w:p>
        </w:tc>
      </w:tr>
    </w:tbl>
    <w:p w:rsidR="002C303E" w:rsidRPr="00790D9F" w:rsidRDefault="002C303E" w:rsidP="001968AC">
      <w:pPr>
        <w:spacing w:after="0" w:line="360" w:lineRule="auto"/>
        <w:jc w:val="both"/>
        <w:rPr>
          <w:rFonts w:asciiTheme="majorHAnsi" w:hAnsiTheme="majorHAnsi" w:cs="Arial"/>
          <w:sz w:val="24"/>
          <w:szCs w:val="24"/>
        </w:rPr>
      </w:pPr>
    </w:p>
    <w:p w:rsidR="002C303E" w:rsidRPr="00790D9F" w:rsidRDefault="00790D9F" w:rsidP="00790D9F">
      <w:pPr>
        <w:spacing w:after="0" w:line="360" w:lineRule="auto"/>
        <w:jc w:val="both"/>
        <w:rPr>
          <w:rFonts w:asciiTheme="majorHAnsi" w:hAnsiTheme="majorHAnsi" w:cs="Arial"/>
          <w:sz w:val="24"/>
          <w:szCs w:val="24"/>
        </w:rPr>
      </w:pPr>
      <w:r w:rsidRPr="00790D9F">
        <w:rPr>
          <w:sz w:val="24"/>
          <w:szCs w:val="24"/>
        </w:rPr>
        <w:t>Deve haver no mínimo um extintor de incêndio distante a não mais de 5m da porta de acesso da entrada principal da edificação, entrada do pavimento ou entrada da área de risco, conforme item 5.10 da NBR 12693/2013</w:t>
      </w:r>
    </w:p>
    <w:p w:rsidR="002C303E" w:rsidRDefault="002C303E" w:rsidP="001968AC">
      <w:pPr>
        <w:spacing w:after="0" w:line="360" w:lineRule="auto"/>
        <w:jc w:val="both"/>
        <w:rPr>
          <w:rFonts w:asciiTheme="majorHAnsi" w:hAnsiTheme="majorHAnsi" w:cs="Arial"/>
          <w:sz w:val="24"/>
          <w:szCs w:val="24"/>
        </w:rPr>
      </w:pPr>
    </w:p>
    <w:p w:rsidR="00790D9F" w:rsidRPr="00790D9F" w:rsidRDefault="00790D9F" w:rsidP="001968AC">
      <w:pPr>
        <w:spacing w:after="0" w:line="360" w:lineRule="auto"/>
        <w:jc w:val="both"/>
        <w:rPr>
          <w:b/>
          <w:sz w:val="24"/>
          <w:szCs w:val="24"/>
        </w:rPr>
      </w:pPr>
      <w:r w:rsidRPr="00790D9F">
        <w:rPr>
          <w:b/>
          <w:sz w:val="24"/>
          <w:szCs w:val="24"/>
        </w:rPr>
        <w:t>SAÍDA DE EMERGÊNCIA</w:t>
      </w:r>
    </w:p>
    <w:p w:rsidR="00790D9F" w:rsidRPr="00790D9F" w:rsidRDefault="00790D9F" w:rsidP="001968AC">
      <w:pPr>
        <w:spacing w:after="0" w:line="360" w:lineRule="auto"/>
        <w:jc w:val="both"/>
        <w:rPr>
          <w:rFonts w:asciiTheme="majorHAnsi" w:hAnsiTheme="majorHAnsi" w:cs="Arial"/>
          <w:sz w:val="24"/>
          <w:szCs w:val="24"/>
        </w:rPr>
      </w:pPr>
      <w:r w:rsidRPr="00790D9F">
        <w:rPr>
          <w:sz w:val="24"/>
          <w:szCs w:val="24"/>
        </w:rPr>
        <w:t>A edificação deve possuir condições para que sua população possa abandoná-la, em caso de incêndio, completamente protegida em sua integridade física, bem como permitir o fácil acesso de auxílio externo (bombeiros) para o combate ao fogo e a retirada da população.</w:t>
      </w:r>
    </w:p>
    <w:p w:rsidR="00790D9F" w:rsidRDefault="00790D9F" w:rsidP="001968AC">
      <w:pPr>
        <w:spacing w:after="0" w:line="360" w:lineRule="auto"/>
        <w:jc w:val="both"/>
        <w:rPr>
          <w:rFonts w:asciiTheme="majorHAnsi" w:hAnsiTheme="majorHAnsi" w:cs="Arial"/>
          <w:sz w:val="24"/>
          <w:szCs w:val="24"/>
        </w:rPr>
      </w:pPr>
    </w:p>
    <w:tbl>
      <w:tblPr>
        <w:tblStyle w:val="Tabelacomgrade"/>
        <w:tblW w:w="0" w:type="auto"/>
        <w:tblLook w:val="04A0" w:firstRow="1" w:lastRow="0" w:firstColumn="1" w:lastColumn="0" w:noHBand="0" w:noVBand="1"/>
      </w:tblPr>
      <w:tblGrid>
        <w:gridCol w:w="2831"/>
        <w:gridCol w:w="1416"/>
        <w:gridCol w:w="1415"/>
        <w:gridCol w:w="2832"/>
      </w:tblGrid>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Quanto à ocupação:</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Serviço Profissional</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Quanto à altura:</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Edificação Térrea</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Área do maior pavimento:</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2.745,43</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Quanto às características construtivas:</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Construção em Alvenaria</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Número de saídas:</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Tipo de escada:</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p>
        </w:tc>
      </w:tr>
      <w:tr w:rsidR="00790D9F" w:rsidTr="00CE5E3B">
        <w:tc>
          <w:tcPr>
            <w:tcW w:w="2831" w:type="dxa"/>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  ) NE – Não enclausurada</w:t>
            </w:r>
          </w:p>
        </w:tc>
        <w:tc>
          <w:tcPr>
            <w:tcW w:w="2831"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  ) EP – Escada Protegida</w:t>
            </w:r>
          </w:p>
        </w:tc>
        <w:tc>
          <w:tcPr>
            <w:tcW w:w="2832" w:type="dxa"/>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  ) PF – À Prova de Fumaça</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Tipo de ventilação da escada:</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Distância máxima a percorrer até a saída</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Exigida 50 metros</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TRRF dos elementos estruturais:</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60 minutos</w:t>
            </w:r>
          </w:p>
        </w:tc>
      </w:tr>
      <w:tr w:rsidR="00790D9F" w:rsidTr="00790D9F">
        <w:tc>
          <w:tcPr>
            <w:tcW w:w="4247" w:type="dxa"/>
            <w:gridSpan w:val="2"/>
            <w:shd w:val="clear" w:color="auto" w:fill="BFBFBF" w:themeFill="background1" w:themeFillShade="BF"/>
          </w:tcPr>
          <w:p w:rsidR="00790D9F" w:rsidRPr="00790D9F" w:rsidRDefault="00790D9F" w:rsidP="001968AC">
            <w:pPr>
              <w:spacing w:line="360" w:lineRule="auto"/>
              <w:jc w:val="both"/>
              <w:rPr>
                <w:rFonts w:asciiTheme="majorHAnsi" w:hAnsiTheme="majorHAnsi" w:cs="Arial"/>
                <w:b/>
                <w:sz w:val="20"/>
                <w:szCs w:val="20"/>
              </w:rPr>
            </w:pPr>
            <w:r w:rsidRPr="00790D9F">
              <w:rPr>
                <w:b/>
                <w:sz w:val="20"/>
                <w:szCs w:val="20"/>
              </w:rPr>
              <w:t>Tipo de porta corta fogo da escada:</w:t>
            </w:r>
          </w:p>
        </w:tc>
        <w:tc>
          <w:tcPr>
            <w:tcW w:w="4247" w:type="dxa"/>
            <w:gridSpan w:val="2"/>
          </w:tcPr>
          <w:p w:rsidR="00790D9F" w:rsidRPr="00790D9F" w:rsidRDefault="00790D9F" w:rsidP="001968AC">
            <w:pPr>
              <w:spacing w:line="360" w:lineRule="auto"/>
              <w:jc w:val="both"/>
              <w:rPr>
                <w:rFonts w:asciiTheme="majorHAnsi" w:hAnsiTheme="majorHAnsi" w:cs="Arial"/>
                <w:sz w:val="20"/>
                <w:szCs w:val="20"/>
              </w:rPr>
            </w:pPr>
            <w:r w:rsidRPr="00790D9F">
              <w:rPr>
                <w:rFonts w:asciiTheme="majorHAnsi" w:hAnsiTheme="majorHAnsi" w:cs="Arial"/>
                <w:sz w:val="20"/>
                <w:szCs w:val="20"/>
              </w:rPr>
              <w:t>-</w:t>
            </w:r>
          </w:p>
        </w:tc>
      </w:tr>
    </w:tbl>
    <w:p w:rsidR="00790D9F" w:rsidRPr="00790D9F" w:rsidRDefault="00790D9F" w:rsidP="001968AC">
      <w:pPr>
        <w:spacing w:after="0" w:line="360" w:lineRule="auto"/>
        <w:jc w:val="both"/>
        <w:rPr>
          <w:rFonts w:asciiTheme="majorHAnsi" w:hAnsiTheme="majorHAnsi" w:cs="Arial"/>
          <w:sz w:val="24"/>
          <w:szCs w:val="24"/>
        </w:rPr>
      </w:pPr>
    </w:p>
    <w:p w:rsidR="00790D9F" w:rsidRPr="00790D9F" w:rsidRDefault="00790D9F" w:rsidP="00790D9F">
      <w:pPr>
        <w:spacing w:after="0" w:line="360" w:lineRule="auto"/>
        <w:jc w:val="both"/>
        <w:rPr>
          <w:b/>
          <w:sz w:val="24"/>
          <w:szCs w:val="24"/>
        </w:rPr>
      </w:pPr>
      <w:r w:rsidRPr="00790D9F">
        <w:rPr>
          <w:b/>
          <w:sz w:val="24"/>
          <w:szCs w:val="24"/>
        </w:rPr>
        <w:t>SISTEMA DE PROTEÇÃO POR HIDRANTES - CONFORME NTCB 19 DOCBMMT</w:t>
      </w:r>
    </w:p>
    <w:p w:rsidR="00790D9F" w:rsidRPr="00790D9F" w:rsidRDefault="00790D9F" w:rsidP="00790D9F">
      <w:pPr>
        <w:spacing w:after="0" w:line="360" w:lineRule="auto"/>
        <w:jc w:val="both"/>
        <w:rPr>
          <w:rFonts w:asciiTheme="majorHAnsi" w:hAnsiTheme="majorHAnsi" w:cs="Arial"/>
          <w:sz w:val="24"/>
          <w:szCs w:val="24"/>
        </w:rPr>
      </w:pPr>
      <w:r w:rsidRPr="00790D9F">
        <w:rPr>
          <w:sz w:val="24"/>
          <w:szCs w:val="24"/>
        </w:rPr>
        <w:t xml:space="preserve">Sistema de combate a incêndio composto por reserva de incêndio, bombas de incêndio (quando necessário), rede de tubulação, hidrantes ou </w:t>
      </w:r>
      <w:proofErr w:type="spellStart"/>
      <w:r w:rsidRPr="00790D9F">
        <w:rPr>
          <w:sz w:val="24"/>
          <w:szCs w:val="24"/>
        </w:rPr>
        <w:t>mangotinhos</w:t>
      </w:r>
      <w:proofErr w:type="spellEnd"/>
      <w:r w:rsidRPr="00790D9F">
        <w:rPr>
          <w:sz w:val="24"/>
          <w:szCs w:val="24"/>
        </w:rPr>
        <w:t xml:space="preserve"> e outros acessórios que possui a finalidade de combater incêndios.</w:t>
      </w:r>
    </w:p>
    <w:p w:rsidR="00790D9F" w:rsidRPr="00790D9F" w:rsidRDefault="00790D9F" w:rsidP="001968AC">
      <w:pPr>
        <w:spacing w:after="0" w:line="360" w:lineRule="auto"/>
        <w:jc w:val="both"/>
        <w:rPr>
          <w:rFonts w:asciiTheme="majorHAnsi" w:hAnsiTheme="majorHAnsi" w:cs="Arial"/>
          <w:sz w:val="24"/>
          <w:szCs w:val="24"/>
        </w:rPr>
      </w:pPr>
    </w:p>
    <w:p w:rsidR="00790D9F" w:rsidRPr="00790D9F" w:rsidRDefault="00790D9F" w:rsidP="00790D9F">
      <w:pPr>
        <w:spacing w:after="0" w:line="360" w:lineRule="auto"/>
        <w:jc w:val="both"/>
        <w:rPr>
          <w:b/>
          <w:sz w:val="24"/>
          <w:szCs w:val="24"/>
        </w:rPr>
      </w:pPr>
      <w:r w:rsidRPr="00790D9F">
        <w:rPr>
          <w:b/>
          <w:sz w:val="24"/>
          <w:szCs w:val="24"/>
        </w:rPr>
        <w:t>Bombas De Incêndio</w:t>
      </w:r>
    </w:p>
    <w:p w:rsidR="00790D9F" w:rsidRPr="00790D9F" w:rsidRDefault="00790D9F" w:rsidP="00790D9F">
      <w:pPr>
        <w:spacing w:after="0" w:line="360" w:lineRule="auto"/>
        <w:jc w:val="both"/>
        <w:rPr>
          <w:rFonts w:asciiTheme="majorHAnsi" w:hAnsiTheme="majorHAnsi" w:cs="Arial"/>
          <w:sz w:val="24"/>
          <w:szCs w:val="24"/>
        </w:rPr>
      </w:pPr>
      <w:r w:rsidRPr="00790D9F">
        <w:rPr>
          <w:sz w:val="24"/>
          <w:szCs w:val="24"/>
        </w:rPr>
        <w:lastRenderedPageBreak/>
        <w:t xml:space="preserve">A alimentação elétrica da bomba de incêndio deve ser independente do consumo geral, de forma a permitir o desligamento geral da energia elétrica, sem prejuízo do funcionamento do motor da bomba de incêndio. A automatização da bomba principal ou de reforço deve ser executada de maneira que, após a partida do motor, seu desligamento seja somente manual no seu próprio painel de comando, localizado na casa de bombas. Deve ser instalado um acionamento manual para as bombas principal ou de reforço em um ponto seguro da edificação e que permita fácil acesso. Todo o sistema de hidrante deve ser dotado de alarme audiovisual, interligado ao sistema de alarme da edificação, indicando do uso de qualquer ponto de hidrante, que é acionado automaticamente através de </w:t>
      </w:r>
      <w:proofErr w:type="spellStart"/>
      <w:r w:rsidRPr="00790D9F">
        <w:rPr>
          <w:sz w:val="24"/>
          <w:szCs w:val="24"/>
        </w:rPr>
        <w:t>pressostato</w:t>
      </w:r>
      <w:proofErr w:type="spellEnd"/>
      <w:r w:rsidRPr="00790D9F">
        <w:rPr>
          <w:sz w:val="24"/>
          <w:szCs w:val="24"/>
        </w:rPr>
        <w:t xml:space="preserve"> ou chave de fluxo, conforme o item 4.6.1 da NBR 13714/2000 e NBR 17240/2010. A entrada de força para a edificação a ser protegida deve ser dimensionada para suportar o funcionamento das bombas de incêndio em conjunto com os demais componentes elétricos da edificação, a plena carga. Deve ser instalado um sistema de supervisão elétrica, de modo a detectar qualquer falha nas instalações elétricas da edificação, que possa interferir no funcionamento das bombas de incêndio. As chaves elétricas de alimentação das bombas de incêndio devem ser sinalizadas com a inscrição “ALIMENTAÇÃO DA BOMBA DE INCÊNDIO - NÃO DESLIGUE”. As bombas de incêndio devem ser protegidas contra danos mecânicos, intempéries, agentes químicos, fogo ou umidade. As dimensões das casas de bombas devem ser tais que permitam acesso em toda volta das bombas de incêndio e espaço suficiente para qualquer serviço de manutenção local, nas bombas de incêndio e no painel de comando, inclusive viabilidade de remoção completa de qualquer das bombas de incêndio, permanecendo a outra em condição de funcionamento imediato. As bombas que alimentam o sistema deverão manter a pressão mínima de 01 kgf/cm² e máxima de 04 kgf/cm² e a vazão de funcionamento de no mínimo 200 l/min”, medidas nos esguichos, quando em operação simultânea de 4 linhas de mangueiras de 30 metros cada uma, conectadas nos hidrantes mais desfavoráveis. O sistema foi dimensionado de modo que as pressões dinâmicas nas entradas dos esguichos não ultrapassem o dobro daquela obtida no esguicho mais desfavorável hidraulicamente.</w:t>
      </w:r>
    </w:p>
    <w:p w:rsidR="00790D9F" w:rsidRPr="00222359" w:rsidRDefault="00790D9F" w:rsidP="001968AC">
      <w:pPr>
        <w:spacing w:after="0" w:line="360" w:lineRule="auto"/>
        <w:jc w:val="both"/>
        <w:rPr>
          <w:rFonts w:asciiTheme="majorHAnsi" w:hAnsiTheme="majorHAnsi" w:cs="Arial"/>
          <w:sz w:val="24"/>
          <w:szCs w:val="24"/>
        </w:rPr>
      </w:pPr>
    </w:p>
    <w:p w:rsidR="00790D9F" w:rsidRPr="00222359" w:rsidRDefault="00790D9F" w:rsidP="001968AC">
      <w:pPr>
        <w:spacing w:after="0" w:line="360" w:lineRule="auto"/>
        <w:jc w:val="both"/>
        <w:rPr>
          <w:b/>
          <w:sz w:val="24"/>
          <w:szCs w:val="24"/>
        </w:rPr>
      </w:pPr>
      <w:r w:rsidRPr="00222359">
        <w:rPr>
          <w:b/>
          <w:sz w:val="24"/>
          <w:szCs w:val="24"/>
        </w:rPr>
        <w:t>Canalização Preventiva</w:t>
      </w:r>
    </w:p>
    <w:p w:rsidR="00222359" w:rsidRPr="00222359" w:rsidRDefault="00790D9F" w:rsidP="001968AC">
      <w:pPr>
        <w:spacing w:after="0" w:line="360" w:lineRule="auto"/>
        <w:jc w:val="both"/>
        <w:rPr>
          <w:sz w:val="24"/>
          <w:szCs w:val="24"/>
        </w:rPr>
      </w:pPr>
      <w:r w:rsidRPr="00222359">
        <w:rPr>
          <w:sz w:val="24"/>
          <w:szCs w:val="24"/>
        </w:rPr>
        <w:lastRenderedPageBreak/>
        <w:t>A canalização preventiva contra incêndio será executada em tubos de ferro ou aço galvanizado, na cor vermelha, resistente a uma pressão mínima de 18 kgf/cm² com diâmetro mínimo de 2 ½” (63 mm), tudo d</w:t>
      </w:r>
      <w:r w:rsidR="00222359" w:rsidRPr="00222359">
        <w:rPr>
          <w:sz w:val="24"/>
          <w:szCs w:val="24"/>
        </w:rPr>
        <w:t>e acordo com as normas da ABNT.</w:t>
      </w:r>
    </w:p>
    <w:p w:rsidR="00222359" w:rsidRPr="00222359" w:rsidRDefault="00790D9F" w:rsidP="001968AC">
      <w:pPr>
        <w:spacing w:after="0" w:line="360" w:lineRule="auto"/>
        <w:jc w:val="both"/>
        <w:rPr>
          <w:sz w:val="24"/>
          <w:szCs w:val="24"/>
        </w:rPr>
      </w:pPr>
      <w:r w:rsidRPr="00222359">
        <w:rPr>
          <w:sz w:val="24"/>
          <w:szCs w:val="24"/>
        </w:rPr>
        <w:t xml:space="preserve">Os materiais termoplásticos (tipo - PVC), na forma de tubos e conexões, somente devem ser utilizados enterrados e fora da projeção da planta da edificação, satisfazendo a todos os requisitos de resistência </w:t>
      </w:r>
      <w:proofErr w:type="spellStart"/>
      <w:r w:rsidRPr="00222359">
        <w:rPr>
          <w:sz w:val="24"/>
          <w:szCs w:val="24"/>
        </w:rPr>
        <w:t>á</w:t>
      </w:r>
      <w:proofErr w:type="spellEnd"/>
      <w:r w:rsidRPr="00222359">
        <w:rPr>
          <w:sz w:val="24"/>
          <w:szCs w:val="24"/>
        </w:rPr>
        <w:t xml:space="preserve"> pressão interna e esforços mecânicos necessários ao f</w:t>
      </w:r>
      <w:r w:rsidR="00222359" w:rsidRPr="00222359">
        <w:rPr>
          <w:sz w:val="24"/>
          <w:szCs w:val="24"/>
        </w:rPr>
        <w:t>uncionamento da instalação.</w:t>
      </w:r>
    </w:p>
    <w:p w:rsidR="00222359" w:rsidRPr="00222359" w:rsidRDefault="00222359" w:rsidP="001968AC">
      <w:pPr>
        <w:spacing w:after="0" w:line="360" w:lineRule="auto"/>
        <w:jc w:val="both"/>
        <w:rPr>
          <w:sz w:val="24"/>
          <w:szCs w:val="24"/>
        </w:rPr>
      </w:pPr>
    </w:p>
    <w:p w:rsidR="00222359" w:rsidRPr="00222359" w:rsidRDefault="00222359" w:rsidP="001968AC">
      <w:pPr>
        <w:spacing w:after="0" w:line="360" w:lineRule="auto"/>
        <w:jc w:val="both"/>
        <w:rPr>
          <w:b/>
          <w:sz w:val="24"/>
          <w:szCs w:val="24"/>
        </w:rPr>
      </w:pPr>
      <w:r w:rsidRPr="00222359">
        <w:rPr>
          <w:b/>
          <w:sz w:val="24"/>
          <w:szCs w:val="24"/>
        </w:rPr>
        <w:t>Abrigo</w:t>
      </w:r>
    </w:p>
    <w:p w:rsidR="00222359" w:rsidRDefault="00790D9F" w:rsidP="001968AC">
      <w:pPr>
        <w:spacing w:after="0" w:line="360" w:lineRule="auto"/>
        <w:jc w:val="both"/>
        <w:rPr>
          <w:sz w:val="24"/>
          <w:szCs w:val="24"/>
        </w:rPr>
      </w:pPr>
      <w:r w:rsidRPr="00222359">
        <w:rPr>
          <w:sz w:val="24"/>
          <w:szCs w:val="24"/>
        </w:rPr>
        <w:t>Os abrigos deverão ser facilmente visualizados e terão forma paralelepipedal com as dimensões mínimas de 70 cm de altura, 50 cm de largura e profund</w:t>
      </w:r>
      <w:r w:rsidR="00222359">
        <w:rPr>
          <w:sz w:val="24"/>
          <w:szCs w:val="24"/>
        </w:rPr>
        <w:t>idade igual ou maior que 18 cm.</w:t>
      </w:r>
    </w:p>
    <w:p w:rsidR="00222359" w:rsidRDefault="00790D9F" w:rsidP="001968AC">
      <w:pPr>
        <w:spacing w:after="0" w:line="360" w:lineRule="auto"/>
        <w:jc w:val="both"/>
        <w:rPr>
          <w:sz w:val="24"/>
          <w:szCs w:val="24"/>
        </w:rPr>
      </w:pPr>
      <w:r w:rsidRPr="00222359">
        <w:rPr>
          <w:sz w:val="24"/>
          <w:szCs w:val="24"/>
        </w:rPr>
        <w:t>A utilização do sistema não deve comprometer a fuga dos ocupantes da edificação; portanto, deve ser projetado de tal forma que dê proteção em toda a edificação, sem que haja a necessidade de adentrar as escadas, antecâmaras ou outros locais determinados exclusivamente para servirem</w:t>
      </w:r>
      <w:r w:rsidR="00222359">
        <w:rPr>
          <w:sz w:val="24"/>
          <w:szCs w:val="24"/>
        </w:rPr>
        <w:t xml:space="preserve"> de rota de fuga dos ocupantes.</w:t>
      </w:r>
    </w:p>
    <w:p w:rsidR="00222359" w:rsidRPr="00222359" w:rsidRDefault="00222359" w:rsidP="001968AC">
      <w:pPr>
        <w:spacing w:after="0" w:line="360" w:lineRule="auto"/>
        <w:jc w:val="both"/>
        <w:rPr>
          <w:sz w:val="24"/>
          <w:szCs w:val="24"/>
        </w:rPr>
      </w:pPr>
    </w:p>
    <w:p w:rsidR="00222359" w:rsidRPr="00222359" w:rsidRDefault="00222359" w:rsidP="001968AC">
      <w:pPr>
        <w:spacing w:after="0" w:line="360" w:lineRule="auto"/>
        <w:jc w:val="both"/>
        <w:rPr>
          <w:b/>
          <w:sz w:val="24"/>
          <w:szCs w:val="24"/>
        </w:rPr>
      </w:pPr>
      <w:r w:rsidRPr="00222359">
        <w:rPr>
          <w:b/>
          <w:sz w:val="24"/>
          <w:szCs w:val="24"/>
        </w:rPr>
        <w:t>Hid</w:t>
      </w:r>
      <w:r w:rsidR="00200D8E">
        <w:rPr>
          <w:b/>
          <w:sz w:val="24"/>
          <w:szCs w:val="24"/>
        </w:rPr>
        <w:t>r</w:t>
      </w:r>
      <w:r w:rsidRPr="00222359">
        <w:rPr>
          <w:b/>
          <w:sz w:val="24"/>
          <w:szCs w:val="24"/>
        </w:rPr>
        <w:t>antes</w:t>
      </w:r>
    </w:p>
    <w:p w:rsidR="00790D9F" w:rsidRPr="00222359" w:rsidRDefault="00790D9F" w:rsidP="001968AC">
      <w:pPr>
        <w:spacing w:after="0" w:line="360" w:lineRule="auto"/>
        <w:jc w:val="both"/>
        <w:rPr>
          <w:rFonts w:asciiTheme="majorHAnsi" w:hAnsiTheme="majorHAnsi" w:cs="Arial"/>
          <w:sz w:val="24"/>
          <w:szCs w:val="24"/>
        </w:rPr>
      </w:pPr>
      <w:r w:rsidRPr="00222359">
        <w:rPr>
          <w:sz w:val="24"/>
          <w:szCs w:val="24"/>
        </w:rPr>
        <w:t>Os hidrantes, que podem estar dentro ou fora dos abrigos, terão registros do tipo globo de 2 ½” (63 mm) de diâmetro, com junta STORZ, de 2 ½” (63 mm) com redução de 1 ½” (38 mm) de diâmetro, onde serão estabelecidas as linhas de mangueiras, a depender do risco</w:t>
      </w:r>
      <w:r w:rsidR="00222359" w:rsidRPr="00222359">
        <w:rPr>
          <w:sz w:val="24"/>
          <w:szCs w:val="24"/>
        </w:rPr>
        <w:t>.</w:t>
      </w:r>
    </w:p>
    <w:p w:rsidR="00222359" w:rsidRPr="00222359" w:rsidRDefault="00222359" w:rsidP="001968AC">
      <w:pPr>
        <w:spacing w:after="0" w:line="360" w:lineRule="auto"/>
        <w:jc w:val="both"/>
        <w:rPr>
          <w:sz w:val="24"/>
          <w:szCs w:val="24"/>
        </w:rPr>
      </w:pPr>
      <w:r w:rsidRPr="00222359">
        <w:rPr>
          <w:sz w:val="24"/>
          <w:szCs w:val="24"/>
        </w:rPr>
        <w:t>Os hidrantes foram dispostos de modo a evitar que, em caso de sinistro, fiquem bloqueados pelo fogo.</w:t>
      </w:r>
    </w:p>
    <w:p w:rsidR="00222359" w:rsidRPr="00222359" w:rsidRDefault="00222359" w:rsidP="001968AC">
      <w:pPr>
        <w:spacing w:after="0" w:line="360" w:lineRule="auto"/>
        <w:jc w:val="both"/>
        <w:rPr>
          <w:sz w:val="24"/>
          <w:szCs w:val="24"/>
        </w:rPr>
      </w:pPr>
      <w:r w:rsidRPr="00222359">
        <w:rPr>
          <w:sz w:val="24"/>
          <w:szCs w:val="24"/>
        </w:rPr>
        <w:t>Os hidrantes ficarão no interior do abrigo de mangueiras ou externamente, ao lado deste. A altura dos registros dos hidrantes será de 1,20 m do piso.</w:t>
      </w:r>
    </w:p>
    <w:p w:rsidR="00790D9F" w:rsidRPr="00222359" w:rsidRDefault="00222359" w:rsidP="001968AC">
      <w:pPr>
        <w:spacing w:after="0" w:line="360" w:lineRule="auto"/>
        <w:jc w:val="both"/>
        <w:rPr>
          <w:rFonts w:asciiTheme="majorHAnsi" w:hAnsiTheme="majorHAnsi" w:cs="Arial"/>
          <w:sz w:val="24"/>
          <w:szCs w:val="24"/>
        </w:rPr>
      </w:pPr>
      <w:r w:rsidRPr="00222359">
        <w:rPr>
          <w:sz w:val="24"/>
          <w:szCs w:val="24"/>
        </w:rPr>
        <w:t>Os pontos de tomada de água devem ser posicionados nas proximidades das portas externas e/ou acessos à área a ser protegida, a não mais de 5 metros.</w:t>
      </w:r>
    </w:p>
    <w:p w:rsidR="00790D9F" w:rsidRPr="00222359" w:rsidRDefault="00790D9F" w:rsidP="001968AC">
      <w:pPr>
        <w:spacing w:after="0" w:line="360" w:lineRule="auto"/>
        <w:jc w:val="both"/>
        <w:rPr>
          <w:rFonts w:asciiTheme="majorHAnsi" w:hAnsiTheme="majorHAnsi" w:cs="Arial"/>
          <w:sz w:val="24"/>
          <w:szCs w:val="24"/>
        </w:rPr>
      </w:pPr>
    </w:p>
    <w:p w:rsidR="00222359" w:rsidRPr="00222359" w:rsidRDefault="00222359" w:rsidP="001968AC">
      <w:pPr>
        <w:spacing w:after="0" w:line="360" w:lineRule="auto"/>
        <w:jc w:val="both"/>
        <w:rPr>
          <w:b/>
          <w:sz w:val="24"/>
          <w:szCs w:val="24"/>
        </w:rPr>
      </w:pPr>
      <w:r w:rsidRPr="00222359">
        <w:rPr>
          <w:b/>
          <w:sz w:val="24"/>
          <w:szCs w:val="24"/>
        </w:rPr>
        <w:t>Mangueiras De Incêndio</w:t>
      </w:r>
    </w:p>
    <w:p w:rsidR="00222359" w:rsidRPr="00222359" w:rsidRDefault="00222359" w:rsidP="001968AC">
      <w:pPr>
        <w:spacing w:after="0" w:line="360" w:lineRule="auto"/>
        <w:jc w:val="both"/>
        <w:rPr>
          <w:sz w:val="24"/>
          <w:szCs w:val="24"/>
        </w:rPr>
      </w:pPr>
      <w:r w:rsidRPr="00222359">
        <w:rPr>
          <w:sz w:val="24"/>
          <w:szCs w:val="24"/>
        </w:rPr>
        <w:t>Deverão ser empregadas mangueiras com 1 ½” (38mm) de diâmetro interno, dotadas de juntas STORZ e com 30 metros de comprimento.</w:t>
      </w:r>
    </w:p>
    <w:p w:rsidR="00222359" w:rsidRPr="00222359" w:rsidRDefault="00222359" w:rsidP="001968AC">
      <w:pPr>
        <w:spacing w:after="0" w:line="360" w:lineRule="auto"/>
        <w:jc w:val="both"/>
        <w:rPr>
          <w:sz w:val="24"/>
          <w:szCs w:val="24"/>
        </w:rPr>
      </w:pPr>
      <w:r w:rsidRPr="00222359">
        <w:rPr>
          <w:sz w:val="24"/>
          <w:szCs w:val="24"/>
        </w:rPr>
        <w:lastRenderedPageBreak/>
        <w:t>As mangueiras de incêndio devem ser acondicionadas dentro dos abrigos em ziguezague conforme especificado na NBR 12779, sendo que as mangueiras semirrígidas podem ser acondicionadas enroladas, com ou sem o uso de carretéis axiais ou em forma de oito, permitindo sua utilização com facilidade e rapidez. A manutenção das mangueiras deverá ser realizada conforme a NBR 11861/98.</w:t>
      </w:r>
    </w:p>
    <w:p w:rsidR="00222359" w:rsidRPr="00222359" w:rsidRDefault="00222359" w:rsidP="001968AC">
      <w:pPr>
        <w:spacing w:after="0" w:line="360" w:lineRule="auto"/>
        <w:jc w:val="both"/>
        <w:rPr>
          <w:sz w:val="24"/>
          <w:szCs w:val="24"/>
        </w:rPr>
      </w:pPr>
    </w:p>
    <w:p w:rsidR="00222359" w:rsidRPr="00222359" w:rsidRDefault="00222359" w:rsidP="001968AC">
      <w:pPr>
        <w:spacing w:after="0" w:line="360" w:lineRule="auto"/>
        <w:jc w:val="both"/>
        <w:rPr>
          <w:b/>
          <w:sz w:val="24"/>
          <w:szCs w:val="24"/>
        </w:rPr>
      </w:pPr>
      <w:r w:rsidRPr="00222359">
        <w:rPr>
          <w:b/>
          <w:sz w:val="24"/>
          <w:szCs w:val="24"/>
        </w:rPr>
        <w:t>SISTEMA DE ALARME E DETECÇÃO DE INCÊNDIO</w:t>
      </w:r>
    </w:p>
    <w:p w:rsidR="00222359" w:rsidRPr="00222359" w:rsidRDefault="00222359" w:rsidP="001968AC">
      <w:pPr>
        <w:spacing w:after="0" w:line="360" w:lineRule="auto"/>
        <w:jc w:val="both"/>
        <w:rPr>
          <w:b/>
          <w:sz w:val="24"/>
          <w:szCs w:val="24"/>
        </w:rPr>
      </w:pPr>
    </w:p>
    <w:p w:rsidR="00222359" w:rsidRPr="00222359" w:rsidRDefault="00222359" w:rsidP="001968AC">
      <w:pPr>
        <w:spacing w:after="0" w:line="360" w:lineRule="auto"/>
        <w:jc w:val="both"/>
        <w:rPr>
          <w:rFonts w:asciiTheme="majorHAnsi" w:hAnsiTheme="majorHAnsi" w:cs="Arial"/>
          <w:b/>
          <w:sz w:val="24"/>
          <w:szCs w:val="24"/>
        </w:rPr>
      </w:pPr>
      <w:r w:rsidRPr="00222359">
        <w:rPr>
          <w:b/>
          <w:sz w:val="24"/>
          <w:szCs w:val="24"/>
        </w:rPr>
        <w:t>CENTRAL DE ALARME</w:t>
      </w:r>
    </w:p>
    <w:tbl>
      <w:tblPr>
        <w:tblStyle w:val="Tabelacomgrade"/>
        <w:tblW w:w="0" w:type="auto"/>
        <w:tblLook w:val="04A0" w:firstRow="1" w:lastRow="0" w:firstColumn="1" w:lastColumn="0" w:noHBand="0" w:noVBand="1"/>
      </w:tblPr>
      <w:tblGrid>
        <w:gridCol w:w="8494"/>
      </w:tblGrid>
      <w:tr w:rsidR="00222359" w:rsidTr="00222359">
        <w:tc>
          <w:tcPr>
            <w:tcW w:w="8494" w:type="dxa"/>
            <w:shd w:val="clear" w:color="auto" w:fill="BFBFBF" w:themeFill="background1" w:themeFillShade="BF"/>
          </w:tcPr>
          <w:p w:rsidR="00222359" w:rsidRPr="00222359" w:rsidRDefault="00222359" w:rsidP="00222359">
            <w:pPr>
              <w:spacing w:line="360" w:lineRule="auto"/>
              <w:jc w:val="center"/>
              <w:rPr>
                <w:rFonts w:asciiTheme="majorHAnsi" w:hAnsiTheme="majorHAnsi" w:cs="Arial"/>
                <w:b/>
                <w:sz w:val="20"/>
                <w:szCs w:val="20"/>
              </w:rPr>
            </w:pPr>
            <w:r w:rsidRPr="00222359">
              <w:rPr>
                <w:b/>
                <w:sz w:val="20"/>
                <w:szCs w:val="20"/>
              </w:rPr>
              <w:t>ESPECIFICAÇÃO TÉCNICA DO SISTEMA</w:t>
            </w:r>
          </w:p>
        </w:tc>
      </w:tr>
      <w:tr w:rsidR="00222359" w:rsidTr="00222359">
        <w:tc>
          <w:tcPr>
            <w:tcW w:w="8494" w:type="dxa"/>
          </w:tcPr>
          <w:p w:rsidR="00222359" w:rsidRPr="00222359" w:rsidRDefault="00222359" w:rsidP="00222359">
            <w:pPr>
              <w:jc w:val="both"/>
              <w:rPr>
                <w:sz w:val="20"/>
                <w:szCs w:val="20"/>
              </w:rPr>
            </w:pPr>
            <w:proofErr w:type="spellStart"/>
            <w:r w:rsidRPr="00222359">
              <w:rPr>
                <w:sz w:val="20"/>
                <w:szCs w:val="20"/>
              </w:rPr>
              <w:t>LEDs</w:t>
            </w:r>
            <w:proofErr w:type="spellEnd"/>
            <w:r w:rsidRPr="00222359">
              <w:rPr>
                <w:sz w:val="20"/>
                <w:szCs w:val="20"/>
              </w:rPr>
              <w:t xml:space="preserve"> de indicação ligado e fogo</w:t>
            </w:r>
          </w:p>
          <w:p w:rsidR="00222359" w:rsidRPr="00222359" w:rsidRDefault="00222359" w:rsidP="00222359">
            <w:pPr>
              <w:jc w:val="both"/>
              <w:rPr>
                <w:sz w:val="20"/>
                <w:szCs w:val="20"/>
              </w:rPr>
            </w:pPr>
            <w:r w:rsidRPr="00222359">
              <w:rPr>
                <w:sz w:val="20"/>
                <w:szCs w:val="20"/>
              </w:rPr>
              <w:t>Mínimo de 10 laços</w:t>
            </w:r>
          </w:p>
          <w:p w:rsidR="00222359" w:rsidRPr="00222359" w:rsidRDefault="00222359" w:rsidP="00222359">
            <w:pPr>
              <w:jc w:val="both"/>
              <w:rPr>
                <w:sz w:val="20"/>
                <w:szCs w:val="20"/>
              </w:rPr>
            </w:pPr>
            <w:r w:rsidRPr="00222359">
              <w:rPr>
                <w:sz w:val="20"/>
                <w:szCs w:val="20"/>
              </w:rPr>
              <w:t>Tensão de Entrada 127/220 VCA</w:t>
            </w:r>
          </w:p>
          <w:p w:rsidR="00222359" w:rsidRPr="00222359" w:rsidRDefault="00222359" w:rsidP="00222359">
            <w:pPr>
              <w:jc w:val="both"/>
              <w:rPr>
                <w:sz w:val="20"/>
                <w:szCs w:val="20"/>
              </w:rPr>
            </w:pPr>
            <w:r w:rsidRPr="00222359">
              <w:rPr>
                <w:sz w:val="20"/>
                <w:szCs w:val="20"/>
              </w:rPr>
              <w:t>Saída 24V para sirenes</w:t>
            </w:r>
          </w:p>
          <w:p w:rsidR="00222359" w:rsidRPr="00222359" w:rsidRDefault="00222359" w:rsidP="00222359">
            <w:pPr>
              <w:jc w:val="both"/>
              <w:rPr>
                <w:sz w:val="20"/>
                <w:szCs w:val="20"/>
              </w:rPr>
            </w:pPr>
            <w:r w:rsidRPr="00222359">
              <w:rPr>
                <w:sz w:val="20"/>
                <w:szCs w:val="20"/>
              </w:rPr>
              <w:t>Indicação de falta de CA</w:t>
            </w:r>
          </w:p>
          <w:p w:rsidR="00222359" w:rsidRDefault="00222359" w:rsidP="00222359">
            <w:pPr>
              <w:jc w:val="both"/>
              <w:rPr>
                <w:rFonts w:asciiTheme="majorHAnsi" w:hAnsiTheme="majorHAnsi" w:cs="Arial"/>
                <w:sz w:val="24"/>
                <w:szCs w:val="24"/>
              </w:rPr>
            </w:pPr>
            <w:r w:rsidRPr="00222359">
              <w:rPr>
                <w:sz w:val="20"/>
                <w:szCs w:val="20"/>
              </w:rPr>
              <w:t xml:space="preserve">Indicação dos laços através de </w:t>
            </w:r>
            <w:proofErr w:type="spellStart"/>
            <w:r w:rsidRPr="00222359">
              <w:rPr>
                <w:sz w:val="20"/>
                <w:szCs w:val="20"/>
              </w:rPr>
              <w:t>LEDs</w:t>
            </w:r>
            <w:proofErr w:type="spellEnd"/>
          </w:p>
        </w:tc>
      </w:tr>
    </w:tbl>
    <w:p w:rsidR="00222359" w:rsidRPr="00222359" w:rsidRDefault="00222359" w:rsidP="001968AC">
      <w:pPr>
        <w:spacing w:after="0" w:line="360" w:lineRule="auto"/>
        <w:jc w:val="both"/>
        <w:rPr>
          <w:rFonts w:asciiTheme="majorHAnsi" w:hAnsiTheme="majorHAnsi" w:cs="Arial"/>
          <w:sz w:val="24"/>
          <w:szCs w:val="24"/>
        </w:rPr>
      </w:pPr>
    </w:p>
    <w:p w:rsidR="00222359" w:rsidRPr="00222359" w:rsidRDefault="00222359" w:rsidP="00222359">
      <w:pPr>
        <w:spacing w:after="0" w:line="360" w:lineRule="auto"/>
        <w:jc w:val="both"/>
        <w:rPr>
          <w:sz w:val="24"/>
          <w:szCs w:val="24"/>
        </w:rPr>
      </w:pPr>
      <w:r w:rsidRPr="00222359">
        <w:rPr>
          <w:sz w:val="24"/>
          <w:szCs w:val="24"/>
        </w:rPr>
        <w:t xml:space="preserve">A central deve possuir bateria com capacidade suficiente para operar o sistema de alarme por um período mínimo de 24 horas e, depois do fim deste período, devem possuir capacidade de operar todos os </w:t>
      </w:r>
      <w:proofErr w:type="spellStart"/>
      <w:r w:rsidRPr="00222359">
        <w:rPr>
          <w:sz w:val="24"/>
          <w:szCs w:val="24"/>
        </w:rPr>
        <w:t>avisadores</w:t>
      </w:r>
      <w:proofErr w:type="spellEnd"/>
      <w:r w:rsidRPr="00222359">
        <w:rPr>
          <w:sz w:val="24"/>
          <w:szCs w:val="24"/>
        </w:rPr>
        <w:t xml:space="preserve"> de alarme em uso por 15 minutos, conforme item 6.1.4 da NBR 17240/2010.</w:t>
      </w:r>
    </w:p>
    <w:p w:rsidR="00222359" w:rsidRPr="00222359" w:rsidRDefault="00222359" w:rsidP="00222359">
      <w:pPr>
        <w:spacing w:after="0" w:line="360" w:lineRule="auto"/>
        <w:jc w:val="both"/>
        <w:rPr>
          <w:sz w:val="24"/>
          <w:szCs w:val="24"/>
        </w:rPr>
      </w:pPr>
      <w:r w:rsidRPr="00222359">
        <w:rPr>
          <w:sz w:val="24"/>
          <w:szCs w:val="24"/>
        </w:rPr>
        <w:t>A central deve estar instalada a uma altura entre 1,40m e 1,60m do piso acabado para operação em pé ou entre 1,10m e 1,20m para operação sentada, conforme item 5.3.13 da NBR 17240/2010.</w:t>
      </w:r>
    </w:p>
    <w:p w:rsidR="00222359" w:rsidRPr="00222359" w:rsidRDefault="00222359" w:rsidP="00222359">
      <w:pPr>
        <w:spacing w:after="0" w:line="360" w:lineRule="auto"/>
        <w:jc w:val="both"/>
        <w:rPr>
          <w:rFonts w:asciiTheme="majorHAnsi" w:hAnsiTheme="majorHAnsi" w:cs="Arial"/>
          <w:sz w:val="24"/>
          <w:szCs w:val="24"/>
        </w:rPr>
      </w:pPr>
      <w:r w:rsidRPr="00222359">
        <w:rPr>
          <w:sz w:val="24"/>
          <w:szCs w:val="24"/>
        </w:rPr>
        <w:t>Nas centrais de alarme/detecção é obrigatório conter um painel/esquema ilustrativo indicando a localização com identificação dos acionadores manuais ou detectores dispostos na área da edificação, respeitadas as características técnicas da central.</w:t>
      </w:r>
    </w:p>
    <w:p w:rsidR="00222359" w:rsidRPr="00222359" w:rsidRDefault="00222359" w:rsidP="00222359">
      <w:pPr>
        <w:spacing w:after="0" w:line="360" w:lineRule="auto"/>
        <w:jc w:val="both"/>
        <w:rPr>
          <w:rFonts w:asciiTheme="majorHAnsi" w:hAnsiTheme="majorHAnsi" w:cs="Arial"/>
          <w:sz w:val="24"/>
          <w:szCs w:val="24"/>
        </w:rPr>
      </w:pPr>
      <w:r w:rsidRPr="00222359">
        <w:rPr>
          <w:sz w:val="24"/>
          <w:szCs w:val="24"/>
        </w:rPr>
        <w:t>A edificação deve possuir condições mínimas para acionamento e alarme em caso de incêndio sem prejudicar a comunicação entre os usuários. A bomba de incêndio deve estar ligada ao sistema de alarme para que este acuse seu funcionamento.</w:t>
      </w:r>
    </w:p>
    <w:p w:rsidR="00222359" w:rsidRDefault="00222359" w:rsidP="00375DF3">
      <w:pPr>
        <w:spacing w:after="0" w:line="240" w:lineRule="auto"/>
        <w:jc w:val="both"/>
        <w:rPr>
          <w:rFonts w:asciiTheme="majorHAnsi" w:hAnsiTheme="majorHAnsi" w:cs="Arial"/>
          <w:sz w:val="24"/>
          <w:szCs w:val="24"/>
        </w:rPr>
      </w:pPr>
    </w:p>
    <w:p w:rsidR="00222359" w:rsidRPr="00222359" w:rsidRDefault="00222359" w:rsidP="00222359">
      <w:pPr>
        <w:spacing w:after="0" w:line="360" w:lineRule="auto"/>
        <w:jc w:val="both"/>
        <w:rPr>
          <w:b/>
          <w:sz w:val="24"/>
          <w:szCs w:val="24"/>
        </w:rPr>
      </w:pPr>
      <w:r w:rsidRPr="00222359">
        <w:rPr>
          <w:b/>
          <w:sz w:val="24"/>
          <w:szCs w:val="24"/>
        </w:rPr>
        <w:t>ACIONADOR MANUAL</w:t>
      </w:r>
    </w:p>
    <w:p w:rsidR="00222359" w:rsidRPr="00222359" w:rsidRDefault="00222359" w:rsidP="00222359">
      <w:pPr>
        <w:spacing w:after="0" w:line="360" w:lineRule="auto"/>
        <w:jc w:val="both"/>
        <w:rPr>
          <w:sz w:val="24"/>
          <w:szCs w:val="24"/>
        </w:rPr>
      </w:pPr>
      <w:r w:rsidRPr="00222359">
        <w:rPr>
          <w:sz w:val="24"/>
          <w:szCs w:val="24"/>
        </w:rPr>
        <w:t xml:space="preserve">Deve ser em cor vermelha e possuir corpo rígido, conforme NTCB 17 do Corpo de Bombeiros do Estado de Mato Grosso. Deve ser instalado a uma altura entre 0,90m e 1,35m do piso acabado de forma embutida ou sobreposta, conforme NTCB 17 do Corpo </w:t>
      </w:r>
      <w:r w:rsidRPr="00222359">
        <w:rPr>
          <w:sz w:val="24"/>
          <w:szCs w:val="24"/>
        </w:rPr>
        <w:lastRenderedPageBreak/>
        <w:t>de Bombeiros do Estado de Mato Grosso. A distância máxima a ser percorrida por uma pessoa, de qualquer ponto da área protegida até o acionador manual mais próximo, não pode ser superior a 30 metros, conforme NTCB 17 do Corpo de Bombeiros do Estado de Mato Grosso. Após a sua ativação, a central deve acusar o seu funcionamento em até 15 segundos, conforme item 8.1.4 da NBR 17240/2010.</w:t>
      </w:r>
    </w:p>
    <w:p w:rsidR="00222359" w:rsidRPr="00222359" w:rsidRDefault="00222359" w:rsidP="00222359">
      <w:pPr>
        <w:spacing w:after="0" w:line="360" w:lineRule="auto"/>
        <w:jc w:val="both"/>
        <w:rPr>
          <w:sz w:val="24"/>
          <w:szCs w:val="24"/>
        </w:rPr>
      </w:pPr>
    </w:p>
    <w:p w:rsidR="00222359" w:rsidRPr="00222359" w:rsidRDefault="00222359" w:rsidP="00222359">
      <w:pPr>
        <w:spacing w:after="0" w:line="360" w:lineRule="auto"/>
        <w:jc w:val="both"/>
        <w:rPr>
          <w:b/>
          <w:sz w:val="24"/>
          <w:szCs w:val="24"/>
        </w:rPr>
      </w:pPr>
      <w:r w:rsidRPr="00222359">
        <w:rPr>
          <w:b/>
          <w:sz w:val="24"/>
          <w:szCs w:val="24"/>
        </w:rPr>
        <w:t>AVISADOR SONORO E/OU VISUAL</w:t>
      </w:r>
    </w:p>
    <w:p w:rsidR="00222359" w:rsidRPr="00222359" w:rsidRDefault="00222359" w:rsidP="00222359">
      <w:pPr>
        <w:spacing w:after="0" w:line="360" w:lineRule="auto"/>
        <w:jc w:val="both"/>
        <w:rPr>
          <w:sz w:val="24"/>
          <w:szCs w:val="24"/>
        </w:rPr>
      </w:pPr>
      <w:r w:rsidRPr="00222359">
        <w:rPr>
          <w:sz w:val="24"/>
          <w:szCs w:val="24"/>
        </w:rPr>
        <w:t>Devem ser instalados a uma altura de 2,20m a 3,50m de forma embutida ou sobreposta, preferencial na parede, conforme NTCB 17 do Corpo de Bombeiros do Estado de Mato Grosso.</w:t>
      </w:r>
    </w:p>
    <w:p w:rsidR="00222359" w:rsidRPr="00222359" w:rsidRDefault="00222359" w:rsidP="00222359">
      <w:pPr>
        <w:spacing w:after="0" w:line="360" w:lineRule="auto"/>
        <w:jc w:val="both"/>
        <w:rPr>
          <w:sz w:val="24"/>
          <w:szCs w:val="24"/>
        </w:rPr>
      </w:pPr>
      <w:r w:rsidRPr="00222359">
        <w:rPr>
          <w:sz w:val="24"/>
          <w:szCs w:val="24"/>
        </w:rPr>
        <w:t>Devem ser instalados em locais de trânsito de pessoas e de forma a não impedir a comunicação verbal entre os ocupantes da edificação, conforme NTCB 17 do Corpo de Bombeiros do Estado de Mato Grosso.</w:t>
      </w:r>
    </w:p>
    <w:p w:rsidR="00222359" w:rsidRPr="00222359" w:rsidRDefault="00222359" w:rsidP="00222359">
      <w:pPr>
        <w:spacing w:after="0" w:line="360" w:lineRule="auto"/>
        <w:jc w:val="both"/>
        <w:rPr>
          <w:sz w:val="24"/>
          <w:szCs w:val="24"/>
        </w:rPr>
      </w:pPr>
      <w:r w:rsidRPr="00222359">
        <w:rPr>
          <w:sz w:val="24"/>
          <w:szCs w:val="24"/>
        </w:rPr>
        <w:t xml:space="preserve">Os </w:t>
      </w:r>
      <w:proofErr w:type="spellStart"/>
      <w:r w:rsidRPr="00222359">
        <w:rPr>
          <w:sz w:val="24"/>
          <w:szCs w:val="24"/>
        </w:rPr>
        <w:t>avisadores</w:t>
      </w:r>
      <w:proofErr w:type="spellEnd"/>
      <w:r w:rsidRPr="00222359">
        <w:rPr>
          <w:sz w:val="24"/>
          <w:szCs w:val="24"/>
        </w:rPr>
        <w:t xml:space="preserve"> sonoros devem apresentar potência sonora de 15dBA acima do nível médio de som do ambiente ou 5dBA acima do nível máximo de som do ambiente, medidos a 3 metros da fonte, conforme NTCB 17 do Corpo de Bombeiros do Estado de Mato Grosso.</w:t>
      </w:r>
    </w:p>
    <w:p w:rsidR="00222359" w:rsidRDefault="00222359" w:rsidP="00222359">
      <w:pPr>
        <w:spacing w:after="0" w:line="360" w:lineRule="auto"/>
        <w:jc w:val="both"/>
        <w:rPr>
          <w:sz w:val="24"/>
          <w:szCs w:val="24"/>
        </w:rPr>
      </w:pPr>
      <w:r w:rsidRPr="00222359">
        <w:rPr>
          <w:sz w:val="24"/>
          <w:szCs w:val="24"/>
        </w:rPr>
        <w:t xml:space="preserve">O som e a frequência dos </w:t>
      </w:r>
      <w:proofErr w:type="spellStart"/>
      <w:r w:rsidRPr="00222359">
        <w:rPr>
          <w:sz w:val="24"/>
          <w:szCs w:val="24"/>
        </w:rPr>
        <w:t>avisadores</w:t>
      </w:r>
      <w:proofErr w:type="spellEnd"/>
      <w:r w:rsidRPr="00222359">
        <w:rPr>
          <w:sz w:val="24"/>
          <w:szCs w:val="24"/>
        </w:rPr>
        <w:t xml:space="preserve"> devem ser singulares e não podem ser confundidos com quaisquer outros sinalizadores/</w:t>
      </w:r>
      <w:proofErr w:type="spellStart"/>
      <w:r w:rsidRPr="00222359">
        <w:rPr>
          <w:sz w:val="24"/>
          <w:szCs w:val="24"/>
        </w:rPr>
        <w:t>avisadores</w:t>
      </w:r>
      <w:proofErr w:type="spellEnd"/>
      <w:r w:rsidRPr="00222359">
        <w:rPr>
          <w:sz w:val="24"/>
          <w:szCs w:val="24"/>
        </w:rPr>
        <w:t xml:space="preserve"> que não pertençam ao sistema de alarme, conforme NTCB 17 do Corpo de Bomb</w:t>
      </w:r>
      <w:r>
        <w:rPr>
          <w:sz w:val="24"/>
          <w:szCs w:val="24"/>
        </w:rPr>
        <w:t>eiros do Estado de Mato Grosso.</w:t>
      </w:r>
    </w:p>
    <w:p w:rsidR="00222359" w:rsidRDefault="00222359" w:rsidP="00222359">
      <w:pPr>
        <w:spacing w:after="0" w:line="360" w:lineRule="auto"/>
        <w:jc w:val="both"/>
        <w:rPr>
          <w:sz w:val="24"/>
          <w:szCs w:val="24"/>
        </w:rPr>
      </w:pPr>
      <w:r w:rsidRPr="00222359">
        <w:rPr>
          <w:sz w:val="24"/>
          <w:szCs w:val="24"/>
        </w:rPr>
        <w:t xml:space="preserve">Os </w:t>
      </w:r>
      <w:proofErr w:type="spellStart"/>
      <w:r w:rsidRPr="00222359">
        <w:rPr>
          <w:sz w:val="24"/>
          <w:szCs w:val="24"/>
        </w:rPr>
        <w:t>avisadores</w:t>
      </w:r>
      <w:proofErr w:type="spellEnd"/>
      <w:r w:rsidRPr="00222359">
        <w:rPr>
          <w:sz w:val="24"/>
          <w:szCs w:val="24"/>
        </w:rPr>
        <w:t xml:space="preserve"> visuais devem ter intensidade luminosa mínima de 15cd e máxima de 300cd, conforme NTCB 17 do Corpo de Bombe</w:t>
      </w:r>
      <w:r>
        <w:rPr>
          <w:sz w:val="24"/>
          <w:szCs w:val="24"/>
        </w:rPr>
        <w:t>iros do Estado de Mato Grosso.</w:t>
      </w:r>
    </w:p>
    <w:p w:rsidR="00222359" w:rsidRPr="00222359" w:rsidRDefault="00222359" w:rsidP="00222359">
      <w:pPr>
        <w:spacing w:after="0" w:line="360" w:lineRule="auto"/>
        <w:jc w:val="both"/>
        <w:rPr>
          <w:sz w:val="24"/>
          <w:szCs w:val="24"/>
        </w:rPr>
      </w:pPr>
      <w:r>
        <w:rPr>
          <w:sz w:val="24"/>
          <w:szCs w:val="24"/>
        </w:rPr>
        <w:t>E</w:t>
      </w:r>
      <w:r w:rsidRPr="00222359">
        <w:rPr>
          <w:sz w:val="24"/>
          <w:szCs w:val="24"/>
        </w:rPr>
        <w:t xml:space="preserve">m locais com nível sonoro acima de 105dBA ou onde pessoas trabalhem com protetores auriculares, além dos </w:t>
      </w:r>
      <w:proofErr w:type="spellStart"/>
      <w:r w:rsidRPr="00222359">
        <w:rPr>
          <w:sz w:val="24"/>
          <w:szCs w:val="24"/>
        </w:rPr>
        <w:t>avisadores</w:t>
      </w:r>
      <w:proofErr w:type="spellEnd"/>
      <w:r w:rsidRPr="00222359">
        <w:rPr>
          <w:sz w:val="24"/>
          <w:szCs w:val="24"/>
        </w:rPr>
        <w:t xml:space="preserve"> sonoros, devem ser instalados </w:t>
      </w:r>
      <w:proofErr w:type="spellStart"/>
      <w:r w:rsidRPr="00222359">
        <w:rPr>
          <w:sz w:val="24"/>
          <w:szCs w:val="24"/>
        </w:rPr>
        <w:t>avisadores</w:t>
      </w:r>
      <w:proofErr w:type="spellEnd"/>
      <w:r w:rsidRPr="00222359">
        <w:rPr>
          <w:sz w:val="24"/>
          <w:szCs w:val="24"/>
        </w:rPr>
        <w:t xml:space="preserve"> visuais, conforme NTCB 17 do Corpo de Bombeiros do Estado de Mato Grosso.</w:t>
      </w:r>
    </w:p>
    <w:p w:rsidR="00222359" w:rsidRPr="00222359" w:rsidRDefault="00222359" w:rsidP="00222359">
      <w:pPr>
        <w:spacing w:after="0" w:line="360" w:lineRule="auto"/>
        <w:jc w:val="both"/>
        <w:rPr>
          <w:sz w:val="24"/>
          <w:szCs w:val="24"/>
        </w:rPr>
      </w:pPr>
    </w:p>
    <w:p w:rsidR="00222359" w:rsidRPr="00222359" w:rsidRDefault="00222359" w:rsidP="00222359">
      <w:pPr>
        <w:spacing w:after="0" w:line="360" w:lineRule="auto"/>
        <w:jc w:val="both"/>
        <w:rPr>
          <w:b/>
          <w:sz w:val="24"/>
          <w:szCs w:val="24"/>
        </w:rPr>
      </w:pPr>
      <w:r w:rsidRPr="00222359">
        <w:rPr>
          <w:b/>
          <w:sz w:val="24"/>
          <w:szCs w:val="24"/>
        </w:rPr>
        <w:t>BRIGADA DE INCÊNDIO</w:t>
      </w:r>
    </w:p>
    <w:p w:rsidR="00222359" w:rsidRPr="00222359" w:rsidRDefault="00222359" w:rsidP="00222359">
      <w:pPr>
        <w:spacing w:after="0" w:line="360" w:lineRule="auto"/>
        <w:jc w:val="both"/>
        <w:rPr>
          <w:sz w:val="24"/>
          <w:szCs w:val="24"/>
        </w:rPr>
      </w:pPr>
      <w:r w:rsidRPr="00222359">
        <w:rPr>
          <w:sz w:val="24"/>
          <w:szCs w:val="24"/>
        </w:rPr>
        <w:t>A edificação deve possuir requisitos mínimos para implantação de brigada de incêndio, preparada para atuar na prevenção e no combate ao princípio de incêndio, abandono de área e primeiros socorros.</w:t>
      </w:r>
    </w:p>
    <w:p w:rsidR="00222359" w:rsidRPr="00222359" w:rsidRDefault="00222359" w:rsidP="00222359">
      <w:pPr>
        <w:spacing w:after="0" w:line="360" w:lineRule="auto"/>
        <w:jc w:val="both"/>
        <w:rPr>
          <w:sz w:val="24"/>
          <w:szCs w:val="24"/>
        </w:rPr>
      </w:pPr>
    </w:p>
    <w:tbl>
      <w:tblPr>
        <w:tblStyle w:val="Tabelacomgrade"/>
        <w:tblW w:w="0" w:type="auto"/>
        <w:tblLook w:val="04A0" w:firstRow="1" w:lastRow="0" w:firstColumn="1" w:lastColumn="0" w:noHBand="0" w:noVBand="1"/>
      </w:tblPr>
      <w:tblGrid>
        <w:gridCol w:w="738"/>
        <w:gridCol w:w="958"/>
        <w:gridCol w:w="1560"/>
        <w:gridCol w:w="1134"/>
        <w:gridCol w:w="1984"/>
        <w:gridCol w:w="2120"/>
      </w:tblGrid>
      <w:tr w:rsidR="00222359" w:rsidTr="00200D8E">
        <w:tc>
          <w:tcPr>
            <w:tcW w:w="738"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sidRPr="00222359">
              <w:rPr>
                <w:b/>
                <w:sz w:val="20"/>
                <w:szCs w:val="20"/>
              </w:rPr>
              <w:lastRenderedPageBreak/>
              <w:t>Grupo</w:t>
            </w:r>
          </w:p>
        </w:tc>
        <w:tc>
          <w:tcPr>
            <w:tcW w:w="958"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sidRPr="00222359">
              <w:rPr>
                <w:b/>
                <w:sz w:val="20"/>
                <w:szCs w:val="20"/>
              </w:rPr>
              <w:t>Divisão</w:t>
            </w:r>
          </w:p>
        </w:tc>
        <w:tc>
          <w:tcPr>
            <w:tcW w:w="1560"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sidRPr="00222359">
              <w:rPr>
                <w:b/>
                <w:sz w:val="20"/>
                <w:szCs w:val="20"/>
              </w:rPr>
              <w:t>Atividade</w:t>
            </w:r>
          </w:p>
        </w:tc>
        <w:tc>
          <w:tcPr>
            <w:tcW w:w="1134"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sidRPr="00222359">
              <w:rPr>
                <w:b/>
                <w:sz w:val="20"/>
                <w:szCs w:val="20"/>
              </w:rPr>
              <w:t>Grau de Risco</w:t>
            </w:r>
          </w:p>
        </w:tc>
        <w:tc>
          <w:tcPr>
            <w:tcW w:w="1984"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Pr>
                <w:b/>
                <w:sz w:val="20"/>
                <w:szCs w:val="20"/>
              </w:rPr>
              <w:t>Pop. f</w:t>
            </w:r>
            <w:r w:rsidRPr="00222359">
              <w:rPr>
                <w:b/>
                <w:sz w:val="20"/>
                <w:szCs w:val="20"/>
              </w:rPr>
              <w:t>ixa por pavim</w:t>
            </w:r>
            <w:r>
              <w:rPr>
                <w:b/>
                <w:sz w:val="20"/>
                <w:szCs w:val="20"/>
              </w:rPr>
              <w:t>ento</w:t>
            </w:r>
          </w:p>
        </w:tc>
        <w:tc>
          <w:tcPr>
            <w:tcW w:w="2120" w:type="dxa"/>
            <w:shd w:val="clear" w:color="auto" w:fill="BFBFBF" w:themeFill="background1" w:themeFillShade="BF"/>
            <w:vAlign w:val="center"/>
          </w:tcPr>
          <w:p w:rsidR="00222359" w:rsidRPr="00222359" w:rsidRDefault="00222359" w:rsidP="00222359">
            <w:pPr>
              <w:spacing w:line="360" w:lineRule="auto"/>
              <w:jc w:val="center"/>
              <w:rPr>
                <w:b/>
                <w:sz w:val="20"/>
                <w:szCs w:val="20"/>
              </w:rPr>
            </w:pPr>
            <w:r w:rsidRPr="00222359">
              <w:rPr>
                <w:b/>
                <w:sz w:val="20"/>
                <w:szCs w:val="20"/>
              </w:rPr>
              <w:t>Nível</w:t>
            </w:r>
            <w:r>
              <w:rPr>
                <w:b/>
                <w:sz w:val="20"/>
                <w:szCs w:val="20"/>
              </w:rPr>
              <w:t xml:space="preserve"> de Treinamento</w:t>
            </w:r>
            <w:r w:rsidRPr="00222359">
              <w:rPr>
                <w:b/>
                <w:sz w:val="20"/>
                <w:szCs w:val="20"/>
              </w:rPr>
              <w:t xml:space="preserve"> e de Instalação</w:t>
            </w:r>
          </w:p>
        </w:tc>
      </w:tr>
      <w:tr w:rsidR="00222359" w:rsidTr="00222359">
        <w:tc>
          <w:tcPr>
            <w:tcW w:w="738" w:type="dxa"/>
          </w:tcPr>
          <w:p w:rsidR="00222359" w:rsidRPr="00200D8E" w:rsidRDefault="00200D8E" w:rsidP="00200D8E">
            <w:pPr>
              <w:jc w:val="center"/>
              <w:rPr>
                <w:sz w:val="20"/>
                <w:szCs w:val="20"/>
              </w:rPr>
            </w:pPr>
            <w:r w:rsidRPr="00200D8E">
              <w:rPr>
                <w:sz w:val="20"/>
                <w:szCs w:val="20"/>
              </w:rPr>
              <w:t>E</w:t>
            </w:r>
          </w:p>
        </w:tc>
        <w:tc>
          <w:tcPr>
            <w:tcW w:w="958" w:type="dxa"/>
          </w:tcPr>
          <w:p w:rsidR="00222359" w:rsidRPr="00200D8E" w:rsidRDefault="00200D8E" w:rsidP="00200D8E">
            <w:pPr>
              <w:jc w:val="center"/>
              <w:rPr>
                <w:sz w:val="20"/>
                <w:szCs w:val="20"/>
              </w:rPr>
            </w:pPr>
            <w:r w:rsidRPr="00200D8E">
              <w:rPr>
                <w:sz w:val="20"/>
                <w:szCs w:val="20"/>
              </w:rPr>
              <w:t>E-5</w:t>
            </w:r>
          </w:p>
        </w:tc>
        <w:tc>
          <w:tcPr>
            <w:tcW w:w="1560" w:type="dxa"/>
          </w:tcPr>
          <w:p w:rsidR="00222359" w:rsidRPr="00200D8E" w:rsidRDefault="00200D8E" w:rsidP="00200D8E">
            <w:pPr>
              <w:jc w:val="center"/>
              <w:rPr>
                <w:sz w:val="20"/>
                <w:szCs w:val="20"/>
              </w:rPr>
            </w:pPr>
            <w:r w:rsidRPr="00200D8E">
              <w:rPr>
                <w:sz w:val="20"/>
                <w:szCs w:val="20"/>
              </w:rPr>
              <w:t>Educacional e Cultura física</w:t>
            </w:r>
          </w:p>
        </w:tc>
        <w:tc>
          <w:tcPr>
            <w:tcW w:w="1134" w:type="dxa"/>
          </w:tcPr>
          <w:p w:rsidR="00222359" w:rsidRPr="00200D8E" w:rsidRDefault="00200D8E" w:rsidP="00200D8E">
            <w:pPr>
              <w:jc w:val="center"/>
              <w:rPr>
                <w:sz w:val="20"/>
                <w:szCs w:val="20"/>
              </w:rPr>
            </w:pPr>
            <w:r w:rsidRPr="00200D8E">
              <w:rPr>
                <w:sz w:val="20"/>
                <w:szCs w:val="20"/>
              </w:rPr>
              <w:t>Baixo</w:t>
            </w:r>
          </w:p>
        </w:tc>
        <w:tc>
          <w:tcPr>
            <w:tcW w:w="1984" w:type="dxa"/>
          </w:tcPr>
          <w:p w:rsidR="00222359" w:rsidRPr="00200D8E" w:rsidRDefault="00200D8E" w:rsidP="00200D8E">
            <w:pPr>
              <w:jc w:val="center"/>
              <w:rPr>
                <w:sz w:val="20"/>
                <w:szCs w:val="20"/>
              </w:rPr>
            </w:pPr>
            <w:r w:rsidRPr="00200D8E">
              <w:rPr>
                <w:sz w:val="20"/>
                <w:szCs w:val="20"/>
              </w:rPr>
              <w:t>População fixa até 10 pessoas = 6 Brigadistas</w:t>
            </w:r>
          </w:p>
        </w:tc>
        <w:tc>
          <w:tcPr>
            <w:tcW w:w="2120" w:type="dxa"/>
          </w:tcPr>
          <w:p w:rsidR="00222359" w:rsidRPr="00200D8E" w:rsidRDefault="00200D8E" w:rsidP="00200D8E">
            <w:pPr>
              <w:jc w:val="center"/>
              <w:rPr>
                <w:sz w:val="20"/>
                <w:szCs w:val="20"/>
              </w:rPr>
            </w:pPr>
            <w:r w:rsidRPr="00200D8E">
              <w:rPr>
                <w:sz w:val="20"/>
                <w:szCs w:val="20"/>
              </w:rPr>
              <w:t>II</w:t>
            </w:r>
          </w:p>
        </w:tc>
      </w:tr>
    </w:tbl>
    <w:p w:rsidR="00222359" w:rsidRPr="00200D8E" w:rsidRDefault="00222359" w:rsidP="00222359">
      <w:pPr>
        <w:spacing w:after="0" w:line="360" w:lineRule="auto"/>
        <w:jc w:val="both"/>
        <w:rPr>
          <w:sz w:val="24"/>
          <w:szCs w:val="24"/>
        </w:rPr>
      </w:pPr>
    </w:p>
    <w:p w:rsidR="00200D8E" w:rsidRPr="00200D8E" w:rsidRDefault="00200D8E" w:rsidP="00200D8E">
      <w:pPr>
        <w:spacing w:after="0" w:line="360" w:lineRule="auto"/>
        <w:jc w:val="both"/>
        <w:rPr>
          <w:sz w:val="24"/>
          <w:szCs w:val="24"/>
        </w:rPr>
      </w:pPr>
      <w:r w:rsidRPr="00200D8E">
        <w:rPr>
          <w:sz w:val="24"/>
          <w:szCs w:val="24"/>
        </w:rPr>
        <w:t>Quando a população fixa de um pavimento, compartimento ou setor for maior que 15 pessoas, será acrescido + 1 brigadista para cada grupo de acordo risco:</w:t>
      </w:r>
    </w:p>
    <w:p w:rsidR="00222359" w:rsidRPr="00200D8E" w:rsidRDefault="00200D8E" w:rsidP="00200D8E">
      <w:pPr>
        <w:spacing w:after="0" w:line="360" w:lineRule="auto"/>
        <w:jc w:val="both"/>
        <w:rPr>
          <w:sz w:val="24"/>
          <w:szCs w:val="24"/>
        </w:rPr>
      </w:pPr>
      <w:r w:rsidRPr="00200D8E">
        <w:rPr>
          <w:sz w:val="24"/>
          <w:szCs w:val="24"/>
        </w:rPr>
        <w:t>Caso o cálculo entre população acima de 15 pessoas e o grupo de pessoas (20, 15 ou 10) não seja um número inteiro, este deverá ser arredondado para o número inteiro imediatamente superior.</w:t>
      </w:r>
    </w:p>
    <w:p w:rsidR="00BD7AE4" w:rsidRPr="001741F3" w:rsidRDefault="005E3498" w:rsidP="004D3C73">
      <w:pPr>
        <w:spacing w:after="0" w:line="240" w:lineRule="auto"/>
        <w:jc w:val="center"/>
        <w:rPr>
          <w:rFonts w:ascii="Arial" w:hAnsi="Arial" w:cs="Arial"/>
          <w:sz w:val="24"/>
          <w:szCs w:val="24"/>
        </w:rPr>
      </w:pPr>
      <w:r>
        <w:rPr>
          <w:noProof/>
          <w:lang w:eastAsia="pt-BR"/>
        </w:rPr>
        <w:drawing>
          <wp:inline distT="0" distB="0" distL="0" distR="0" wp14:anchorId="0E0E368B" wp14:editId="524F19C2">
            <wp:extent cx="2177788" cy="7473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50244" cy="772202"/>
                    </a:xfrm>
                    <a:prstGeom prst="rect">
                      <a:avLst/>
                    </a:prstGeom>
                  </pic:spPr>
                </pic:pic>
              </a:graphicData>
            </a:graphic>
          </wp:inline>
        </w:drawing>
      </w:r>
    </w:p>
    <w:sectPr w:rsidR="00BD7AE4" w:rsidRPr="001741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24BCE"/>
    <w:multiLevelType w:val="hybridMultilevel"/>
    <w:tmpl w:val="72FE17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BC32D41"/>
    <w:multiLevelType w:val="hybridMultilevel"/>
    <w:tmpl w:val="9A566F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00A45AB"/>
    <w:multiLevelType w:val="hybridMultilevel"/>
    <w:tmpl w:val="045818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84D0035"/>
    <w:multiLevelType w:val="hybridMultilevel"/>
    <w:tmpl w:val="29BA0E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C13357B"/>
    <w:multiLevelType w:val="multilevel"/>
    <w:tmpl w:val="BE6A7DE4"/>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E706900"/>
    <w:multiLevelType w:val="hybridMultilevel"/>
    <w:tmpl w:val="04860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982"/>
    <w:rsid w:val="00031617"/>
    <w:rsid w:val="00036A6C"/>
    <w:rsid w:val="000E16D3"/>
    <w:rsid w:val="00171D5A"/>
    <w:rsid w:val="001741F3"/>
    <w:rsid w:val="00186559"/>
    <w:rsid w:val="001968AC"/>
    <w:rsid w:val="00200D8E"/>
    <w:rsid w:val="00222359"/>
    <w:rsid w:val="00242905"/>
    <w:rsid w:val="002516D9"/>
    <w:rsid w:val="002C303E"/>
    <w:rsid w:val="00375DF3"/>
    <w:rsid w:val="00375E9D"/>
    <w:rsid w:val="003804FB"/>
    <w:rsid w:val="003F2022"/>
    <w:rsid w:val="003F3007"/>
    <w:rsid w:val="0043732D"/>
    <w:rsid w:val="004B7C75"/>
    <w:rsid w:val="004D3C73"/>
    <w:rsid w:val="005132DA"/>
    <w:rsid w:val="00566001"/>
    <w:rsid w:val="005D784C"/>
    <w:rsid w:val="005E3498"/>
    <w:rsid w:val="006326C3"/>
    <w:rsid w:val="0065081E"/>
    <w:rsid w:val="006A3B40"/>
    <w:rsid w:val="006B6159"/>
    <w:rsid w:val="006B7A59"/>
    <w:rsid w:val="00732C36"/>
    <w:rsid w:val="00737F6B"/>
    <w:rsid w:val="00790D9F"/>
    <w:rsid w:val="007A593F"/>
    <w:rsid w:val="007E231C"/>
    <w:rsid w:val="00876753"/>
    <w:rsid w:val="008A4125"/>
    <w:rsid w:val="00917AD4"/>
    <w:rsid w:val="0092596A"/>
    <w:rsid w:val="009348F9"/>
    <w:rsid w:val="00A2351D"/>
    <w:rsid w:val="00A358E1"/>
    <w:rsid w:val="00AC777D"/>
    <w:rsid w:val="00B16398"/>
    <w:rsid w:val="00B176CA"/>
    <w:rsid w:val="00B75FF5"/>
    <w:rsid w:val="00BD7AE4"/>
    <w:rsid w:val="00BF3649"/>
    <w:rsid w:val="00C649F2"/>
    <w:rsid w:val="00C8290A"/>
    <w:rsid w:val="00D842BF"/>
    <w:rsid w:val="00E01790"/>
    <w:rsid w:val="00E131E5"/>
    <w:rsid w:val="00F46982"/>
    <w:rsid w:val="00F87F7C"/>
    <w:rsid w:val="00FB405B"/>
    <w:rsid w:val="00FC561E"/>
    <w:rsid w:val="00FF18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DCB5"/>
  <w15:chartTrackingRefBased/>
  <w15:docId w15:val="{916130C6-22B4-4F38-ABF0-44FAA8EA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BD7A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326C3"/>
    <w:pPr>
      <w:ind w:left="720"/>
      <w:contextualSpacing/>
    </w:pPr>
  </w:style>
  <w:style w:type="table" w:styleId="Tabelacomgrade">
    <w:name w:val="Table Grid"/>
    <w:basedOn w:val="Tabelanormal"/>
    <w:uiPriority w:val="39"/>
    <w:rsid w:val="007E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7E231C"/>
    <w:pPr>
      <w:spacing w:after="0" w:line="240" w:lineRule="auto"/>
    </w:pPr>
  </w:style>
  <w:style w:type="paragraph" w:customStyle="1" w:styleId="Ttulo11">
    <w:name w:val="Título 11"/>
    <w:rsid w:val="004B7C75"/>
    <w:rPr>
      <w:rFonts w:ascii="Arial" w:eastAsiaTheme="majorEastAsia" w:hAnsi="Arial" w:cs="Arial"/>
      <w:b/>
      <w:sz w:val="28"/>
      <w:lang w:eastAsia="pt-BR"/>
    </w:rPr>
  </w:style>
  <w:style w:type="paragraph" w:customStyle="1" w:styleId="Ttulo21">
    <w:name w:val="Título 21"/>
    <w:rsid w:val="004B7C75"/>
    <w:rPr>
      <w:rFonts w:ascii="Arial" w:eastAsiaTheme="majorEastAsia" w:hAnsi="Arial" w:cs="Arial"/>
      <w:b/>
      <w:sz w:val="24"/>
      <w:lang w:eastAsia="pt-BR"/>
    </w:rPr>
  </w:style>
  <w:style w:type="paragraph" w:customStyle="1" w:styleId="Corpodotexto">
    <w:name w:val="Corpo do texto"/>
    <w:rsid w:val="004B7C75"/>
    <w:rPr>
      <w:rFonts w:ascii="Arial" w:eastAsiaTheme="majorEastAsia" w:hAnsi="Arial" w:cs="Arial"/>
      <w:sz w:val="24"/>
      <w:lang w:eastAsia="pt-BR"/>
    </w:rPr>
  </w:style>
  <w:style w:type="paragraph" w:customStyle="1" w:styleId="Ttulodetabela">
    <w:name w:val="Título de tabela"/>
    <w:rsid w:val="004B7C75"/>
    <w:rPr>
      <w:rFonts w:ascii="Arial" w:eastAsiaTheme="majorEastAsia" w:hAnsi="Arial" w:cs="Arial"/>
      <w:b/>
      <w:sz w:val="18"/>
      <w:lang w:eastAsia="pt-BR"/>
    </w:rPr>
  </w:style>
  <w:style w:type="paragraph" w:customStyle="1" w:styleId="Contedodatabela">
    <w:name w:val="Conteúdo da tabela"/>
    <w:rsid w:val="004B7C75"/>
    <w:rPr>
      <w:rFonts w:ascii="Arial" w:eastAsiaTheme="majorEastAsia" w:hAnsi="Arial" w:cs="Arial"/>
      <w:sz w:val="18"/>
      <w:lang w:eastAsia="pt-BR"/>
    </w:rPr>
  </w:style>
  <w:style w:type="character" w:customStyle="1" w:styleId="SemEspaamentoChar">
    <w:name w:val="Sem Espaçamento Char"/>
    <w:basedOn w:val="Fontepargpadro"/>
    <w:link w:val="SemEspaamento"/>
    <w:uiPriority w:val="1"/>
    <w:locked/>
    <w:rsid w:val="00BD7AE4"/>
  </w:style>
  <w:style w:type="character" w:customStyle="1" w:styleId="Ttulo1Char">
    <w:name w:val="Título 1 Char"/>
    <w:basedOn w:val="Fontepargpadro"/>
    <w:link w:val="Ttulo1"/>
    <w:uiPriority w:val="9"/>
    <w:rsid w:val="00BD7AE4"/>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semiHidden/>
    <w:unhideWhenUsed/>
    <w:qFormat/>
    <w:rsid w:val="00BD7AE4"/>
    <w:pPr>
      <w:spacing w:before="480" w:line="240" w:lineRule="auto"/>
      <w:outlineLvl w:val="9"/>
    </w:pPr>
    <w:rPr>
      <w:b/>
      <w:bCs/>
      <w:sz w:val="28"/>
      <w:szCs w:val="28"/>
      <w:lang w:eastAsia="pt-BR"/>
    </w:rPr>
  </w:style>
  <w:style w:type="character" w:styleId="Hyperlink">
    <w:name w:val="Hyperlink"/>
    <w:basedOn w:val="Fontepargpadro"/>
    <w:uiPriority w:val="99"/>
    <w:unhideWhenUsed/>
    <w:rsid w:val="00917A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5B99-5460-4638-ADD1-E7CB7CBB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3981</Words>
  <Characters>21498</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3</cp:revision>
  <dcterms:created xsi:type="dcterms:W3CDTF">2023-09-27T09:21:00Z</dcterms:created>
  <dcterms:modified xsi:type="dcterms:W3CDTF">2023-12-08T09:28:00Z</dcterms:modified>
</cp:coreProperties>
</file>